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38CBF915" w14:textId="6EFEF503" w:rsidR="00500D86" w:rsidRPr="000E64CD" w:rsidRDefault="008B4D4C" w:rsidP="008B4D4C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</w:t>
            </w:r>
            <w:r w:rsid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ma Eğitimi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F4AE88E" w14:textId="11239C93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 w:rsid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A-30</w:t>
            </w:r>
            <w:r w:rsid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459F969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FC1C8D5" w14:textId="3F637732" w:rsidR="00500D86" w:rsidRPr="000E64CD" w:rsidRDefault="00F42B01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50BF9EDF" w14:textId="4C5682B7" w:rsidR="00500D86" w:rsidRPr="000E64CD" w:rsidRDefault="00F42B01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2CC02C27" w14:textId="704123E4" w:rsidR="00500D86" w:rsidRPr="000E64CD" w:rsidRDefault="00F42B01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5242AD01" w14:textId="4138B753" w:rsidR="00500D86" w:rsidRPr="000E64CD" w:rsidRDefault="008B4D4C" w:rsidP="008B4D4C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44596433" w14:textId="77777777" w:rsidR="00B665BA" w:rsidRDefault="004620AF" w:rsidP="00B665BA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E31FC2" w14:textId="4028AA00" w:rsidR="00500D86" w:rsidRPr="000E64CD" w:rsidRDefault="008B4D4C" w:rsidP="00B665BA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>Okuma becerisiyle ilgili temel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</w:t>
            </w:r>
            <w:r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kuramsal </w:t>
            </w:r>
            <w:r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>kavramları öğretmek, Okuma alışkanlığının kazandırılmasıyla ilgili bilgilerin paylaşılması, okuma türlerini uygulamalı şekilde göstermek</w:t>
            </w:r>
            <w:r w:rsidR="00B665BA"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>Okuma çeşitleri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 öğretmek.</w:t>
            </w:r>
            <w:r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Türkçe eğitiminde okuma becerisini geliştirme çalışmaları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yapmak</w:t>
            </w:r>
            <w:r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‘Eleştirel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dijital </w:t>
            </w:r>
            <w:r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okuma’ kavramını metinlerden yola çıkarak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öğretmek.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0587B4EE" w:rsidR="00500D86" w:rsidRPr="000D5BD8" w:rsidRDefault="008B4D4C" w:rsidP="00B665B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</w:t>
            </w:r>
            <w:r w:rsidR="00B665BA"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eğitimi ile ilgili temel konuları kavrar. </w:t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6663E6D7" w:rsidR="00500D86" w:rsidRPr="000D5BD8" w:rsidRDefault="008B4D4C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</w:t>
            </w:r>
            <w:r w:rsidR="00B665BA"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</w:t>
            </w: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eğitiminin </w:t>
            </w:r>
            <w:r>
              <w:t>kuramsal</w:t>
            </w:r>
            <w:r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6508"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boyutlarını</w:t>
            </w:r>
            <w:r w:rsidR="00566508" w:rsidRPr="008B4D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6508"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öğrenir</w:t>
            </w:r>
            <w:r w:rsidR="00B665BA"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00A59401" w:rsidR="00500D86" w:rsidRPr="000D5BD8" w:rsidRDefault="008B4D4C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</w:t>
            </w:r>
            <w:r w:rsidR="004620AF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</w:t>
            </w:r>
            <w:r w:rsidR="00566508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ği</w:t>
            </w:r>
            <w:r w:rsidR="00566508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timinde kullanılacak</w:t>
            </w:r>
            <w:r w:rsidR="004620AF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teknik ve becerileri</w:t>
            </w:r>
            <w:r w:rsid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0AF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kazanır. 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452592C4" w:rsidR="00500D86" w:rsidRPr="000D5BD8" w:rsidRDefault="0056650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Eleştirel okuyucu kimliğini kazanır.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4EE992A0" w:rsidR="00500D86" w:rsidRPr="000D5BD8" w:rsidRDefault="00566508" w:rsidP="0056650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anlama çeşitlerini temel özellikleriyle tanır.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0022E4E2" w:rsidR="00500D86" w:rsidRPr="000D5BD8" w:rsidRDefault="0056650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Okuma eyleminin estetik zevk ve bilgi edinmedeki rolünü kavrar.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0EE93250" w:rsidR="00500D86" w:rsidRPr="000D5BD8" w:rsidRDefault="0056650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Farklı metin türlerinde okuduğunu anlama, metinler arası okuma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alışkanlığını kazanır.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7B9ACB98" w:rsidR="00500D86" w:rsidRPr="000D5BD8" w:rsidRDefault="00566508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hAnsi="Times New Roman" w:cs="Times New Roman"/>
                <w:sz w:val="20"/>
                <w:szCs w:val="20"/>
              </w:rPr>
              <w:t xml:space="preserve">Okuma eğitimi ile </w:t>
            </w:r>
            <w:r w:rsidR="00500D86" w:rsidRPr="000D5BD8">
              <w:rPr>
                <w:rFonts w:ascii="Times New Roman" w:hAnsi="Times New Roman" w:cs="Times New Roman"/>
                <w:sz w:val="20"/>
                <w:szCs w:val="20"/>
              </w:rPr>
              <w:t>ilgili kitap ve süreli yayınları tanır, kaynak eserler arasında karşılaştırma ve sentez becerisine ulaşır.</w:t>
            </w:r>
            <w:r w:rsidR="00500D86"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Bilimsel makaleyi tanıyarak kaynak tarama, alınan bilgileri kullanma becerisini kazan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="00500D86"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60CE48BB" w:rsidR="00500D86" w:rsidRPr="009D4991" w:rsidRDefault="009D4991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ır</w:t>
            </w:r>
          </w:p>
        </w:tc>
        <w:tc>
          <w:tcPr>
            <w:tcW w:w="919" w:type="dxa"/>
            <w:gridSpan w:val="2"/>
          </w:tcPr>
          <w:p w14:paraId="1ACA9B9A" w14:textId="3A760F93" w:rsidR="00500D86" w:rsidRPr="000E64CD" w:rsidRDefault="009D4991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6B28648D" w:rsidR="00500D86" w:rsidRPr="000E64CD" w:rsidRDefault="00C30ED6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14840FEC" w:rsidR="00500D86" w:rsidRPr="000E64CD" w:rsidRDefault="00C30ED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6A103A92" w:rsidR="00500D86" w:rsidRPr="000E64CD" w:rsidRDefault="00C30ED6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2A2D94EA" w:rsidR="00500D86" w:rsidRPr="000E64CD" w:rsidRDefault="00C30ED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46AC8008" w:rsidR="00500D86" w:rsidRPr="000E64CD" w:rsidRDefault="00C30ED6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15F0E75F" w14:textId="35255CB1" w:rsidR="00500D86" w:rsidRPr="000D5BD8" w:rsidRDefault="00500D86" w:rsidP="008D0C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</w:t>
            </w:r>
            <w:r w:rsidR="00C30ED6" w:rsidRPr="000D5BD8">
              <w:rPr>
                <w:rFonts w:ascii="Times New Roman" w:hAnsi="Times New Roman" w:cs="Times New Roman"/>
                <w:sz w:val="20"/>
                <w:szCs w:val="20"/>
              </w:rPr>
              <w:t>(estetik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55E8EBD8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3ACB07B" w14:textId="5E2FDF38" w:rsidR="00500D86" w:rsidRPr="000E64CD" w:rsidRDefault="00C30ED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ahlakî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480FB90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r w:rsidR="00C30ED6" w:rsidRPr="000D5BD8">
              <w:rPr>
                <w:rFonts w:ascii="Times New Roman" w:hAnsi="Times New Roman" w:cs="Times New Roman"/>
                <w:sz w:val="20"/>
                <w:szCs w:val="20"/>
              </w:rPr>
              <w:t>getirilmesinde toplumla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1232BAC5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 w:rsidR="004455EA">
              <w:rPr>
                <w:rFonts w:ascii="Times New Roman" w:hAnsi="Times New Roman" w:cs="Times New Roman"/>
                <w:sz w:val="20"/>
                <w:szCs w:val="20"/>
              </w:rPr>
              <w:t xml:space="preserve">ve kaynakların </w:t>
            </w: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74CF8186" w:rsidR="00500D86" w:rsidRPr="003725F7" w:rsidRDefault="00566508" w:rsidP="00171BD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Okuma</w:t>
            </w: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ğitimi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nin</w:t>
            </w: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kavramları ve </w:t>
            </w: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okumanın unsurları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16D3B09B" w:rsidR="00500D86" w:rsidRPr="003725F7" w:rsidRDefault="00566508" w:rsidP="0056650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anlama, okuma ilkeleri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önemi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01835859" w:rsidR="00500D86" w:rsidRPr="003725F7" w:rsidRDefault="00566508" w:rsidP="0056650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Metin ve türleri, edebi metin, düşünce metinleri, güncel veya resmi metinler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69581FF9" w:rsidR="00500D86" w:rsidRPr="003725F7" w:rsidRDefault="00566508" w:rsidP="00171BD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Farklı metin türlerinde okuduğunu anlama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Metinler arası okuma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</w:t>
            </w: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, Okunabilirlik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7F653967" w:rsidR="00500D86" w:rsidRPr="003725F7" w:rsidRDefault="00566508" w:rsidP="00171BD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Okuma eğitiminde etkili olan etkenler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22FB804D" w:rsidR="00500D86" w:rsidRPr="003725F7" w:rsidRDefault="00566508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>Kelime hazinesinin önemi ve zenginleştirilmesi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4937DEA5" w:rsidR="00500D86" w:rsidRPr="003725F7" w:rsidRDefault="00171BD1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Etkin ve</w:t>
            </w:r>
            <w:r w:rsidRPr="005665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dijital okuma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0BE2250F" w:rsidR="00500D86" w:rsidRPr="003725F7" w:rsidRDefault="00171BD1" w:rsidP="00253F0C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Türkçe derslerinde eleştirel okur yazarlık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1F1F8FC5" w:rsidR="00500D86" w:rsidRPr="003725F7" w:rsidRDefault="00171BD1" w:rsidP="00171BD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BD1">
              <w:rPr>
                <w:rFonts w:ascii="Times New Roman" w:eastAsia="Times New Roman" w:hAnsi="Times New Roman" w:cs="Times New Roman"/>
                <w:sz w:val="20"/>
                <w:szCs w:val="20"/>
              </w:rPr>
              <w:t>Okuma alışkanlığı ve hızlı okuma teknikleri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53923984" w:rsidR="00500D86" w:rsidRPr="003725F7" w:rsidRDefault="00171BD1" w:rsidP="00171BD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BD1">
              <w:rPr>
                <w:rFonts w:ascii="Times New Roman" w:eastAsia="Times New Roman" w:hAnsi="Times New Roman" w:cs="Times New Roman"/>
                <w:sz w:val="20"/>
                <w:szCs w:val="20"/>
              </w:rPr>
              <w:t>Çocukların okuma eğilimleri ve yaşlara göre kitap listesi oluşturma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397834E6" w:rsidR="00500D86" w:rsidRPr="003725F7" w:rsidRDefault="00171BD1" w:rsidP="00171BD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BD1">
              <w:rPr>
                <w:rFonts w:ascii="Times New Roman" w:eastAsia="Times New Roman" w:hAnsi="Times New Roman" w:cs="Times New Roman"/>
                <w:sz w:val="20"/>
                <w:szCs w:val="20"/>
              </w:rPr>
              <w:t>Türkçe programlarında okuma eğitimi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41CC760E" w:rsidR="00500D86" w:rsidRPr="000E64CD" w:rsidRDefault="00171BD1" w:rsidP="00171BD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BD1">
              <w:rPr>
                <w:rFonts w:ascii="Times New Roman" w:eastAsia="Times New Roman" w:hAnsi="Times New Roman" w:cs="Times New Roman"/>
                <w:sz w:val="20"/>
                <w:szCs w:val="20"/>
              </w:rPr>
              <w:t>Okuma türleri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uygulamalar.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500D86" w:rsidRPr="000E64CD" w14:paraId="39C19DDB" w14:textId="77777777" w:rsidTr="008D0C33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00413656" w14:textId="77777777" w:rsidR="00171BD1" w:rsidRPr="00171BD1" w:rsidRDefault="00171BD1" w:rsidP="00171BD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71B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Özbay, M. (2009); Okuma Eğititimi, Öncü Ktap Evi, Ankara. </w:t>
            </w:r>
          </w:p>
          <w:p w14:paraId="2F6B632C" w14:textId="60CE322B" w:rsidR="00171BD1" w:rsidRDefault="00171BD1" w:rsidP="00171BD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1B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Arıcı, A. F. (2012); Okuma Eğitimi, Pegem Akademi, Ankara</w:t>
            </w:r>
            <w:r w:rsidRPr="00171B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7C4BF19F" w14:textId="18DB4825" w:rsidR="00500D86" w:rsidRPr="002325B7" w:rsidRDefault="00500D86" w:rsidP="008D0C3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</w:p>
          <w:p w14:paraId="5E772C0D" w14:textId="1E5C053B" w:rsidR="00171BD1" w:rsidRDefault="00253F0C" w:rsidP="001566C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53F0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Aktaş, Şerif, Gündüz Osman, Yazılı ve Sözlü Anlatım, Akçağ yay, Ankara, 2002.</w:t>
            </w:r>
          </w:p>
          <w:p w14:paraId="393ED016" w14:textId="32B82BDB" w:rsidR="00500D86" w:rsidRPr="00253F0C" w:rsidRDefault="00253F0C" w:rsidP="001566C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53F0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Banarlı, Nihat Sami. Türkçenin Sırları, Kubbealtı Neşriyatı, 7. baskı, İstanbul 1984 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Homeworks/Ödevler</w:t>
            </w:r>
          </w:p>
        </w:tc>
        <w:tc>
          <w:tcPr>
            <w:tcW w:w="991" w:type="dxa"/>
          </w:tcPr>
          <w:p w14:paraId="40379814" w14:textId="2040E79A" w:rsidR="00500D86" w:rsidRPr="000E64CD" w:rsidRDefault="00253F0C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497E2F8A" w14:textId="61AD16C9" w:rsidR="00500D86" w:rsidRPr="000E64CD" w:rsidRDefault="00253F0C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week)/Sınıf içi etkinlikler</w:t>
            </w:r>
          </w:p>
        </w:tc>
        <w:tc>
          <w:tcPr>
            <w:tcW w:w="1133" w:type="dxa"/>
          </w:tcPr>
          <w:p w14:paraId="0025E082" w14:textId="004C7610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6DEBAADD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31C664A" w14:textId="6785E9FE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14:paraId="003298F4" w14:textId="6D369F2E" w:rsidR="00500D86" w:rsidRPr="000E64CD" w:rsidRDefault="00253F0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5D522DC6" w:rsidR="00500D86" w:rsidRPr="000E64CD" w:rsidRDefault="00BC083A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3778EBA2" w14:textId="2B71F218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14:paraId="67AC12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701D58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602FD10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7B9AB443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2FD3AFB2" w14:textId="14AE2922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68E0CB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6EE44A65" w:rsidR="00500D86" w:rsidRPr="000E64CD" w:rsidRDefault="00BC083A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2AB5DEA5" w14:textId="79F267D0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14:paraId="17761672" w14:textId="260C1695" w:rsidR="00500D86" w:rsidRPr="000E64CD" w:rsidRDefault="00BC083A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2847E490" w14:textId="42EED420" w:rsidR="00500D86" w:rsidRPr="000E64CD" w:rsidRDefault="00BC083A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69183749" w14:textId="1BAF04AA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C08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534090F6" w14:textId="20002F38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5F34808A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9AADC1A" w14:textId="759830CE" w:rsidR="00500D86" w:rsidRPr="000E64CD" w:rsidRDefault="001566C1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4,</w:t>
            </w:r>
            <w:r w:rsidR="001C68D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  <w:r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66C1"/>
    <w:rsid w:val="00171BD1"/>
    <w:rsid w:val="001C68D8"/>
    <w:rsid w:val="00253F0C"/>
    <w:rsid w:val="00412F71"/>
    <w:rsid w:val="004455EA"/>
    <w:rsid w:val="004620AF"/>
    <w:rsid w:val="00500D86"/>
    <w:rsid w:val="00566508"/>
    <w:rsid w:val="00571398"/>
    <w:rsid w:val="008B4D4C"/>
    <w:rsid w:val="009D4991"/>
    <w:rsid w:val="00B21258"/>
    <w:rsid w:val="00B665BA"/>
    <w:rsid w:val="00BC083A"/>
    <w:rsid w:val="00C30ED6"/>
    <w:rsid w:val="00F42B01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11</cp:revision>
  <dcterms:created xsi:type="dcterms:W3CDTF">2023-03-28T08:26:00Z</dcterms:created>
  <dcterms:modified xsi:type="dcterms:W3CDTF">2023-03-30T12:12:00Z</dcterms:modified>
</cp:coreProperties>
</file>