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786981" w:rsidRPr="0035578F" w:rsidRDefault="00786981" w:rsidP="0078698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</w:t>
            </w:r>
            <w:proofErr w:type="spellEnd"/>
          </w:p>
        </w:tc>
      </w:tr>
      <w:tr w:rsidR="00786981" w:rsidRPr="0035578F" w:rsidTr="00B133FE">
        <w:trPr>
          <w:trHeight w:val="236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TURM204</w:t>
            </w:r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786981" w:rsidRPr="0035578F" w:rsidTr="00B133FE">
        <w:trPr>
          <w:trHeight w:val="236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:rsidTr="00B133FE">
        <w:trPr>
          <w:trHeight w:val="236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786981" w:rsidRPr="0035578F" w:rsidTr="00B133FE">
        <w:trPr>
          <w:trHeight w:val="236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trHeight w:val="236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786981" w:rsidRPr="0035578F" w:rsidTr="00B133FE">
        <w:trPr>
          <w:trHeight w:val="237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786981" w:rsidRPr="0035578F" w:rsidTr="00B133FE">
        <w:trPr>
          <w:trHeight w:val="236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trHeight w:val="236"/>
        </w:trPr>
        <w:tc>
          <w:tcPr>
            <w:tcW w:w="4504" w:type="dxa"/>
            <w:gridSpan w:val="6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trHeight w:val="238"/>
        </w:trPr>
        <w:tc>
          <w:tcPr>
            <w:tcW w:w="9669" w:type="dxa"/>
            <w:gridSpan w:val="1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86981" w:rsidRPr="0035578F" w:rsidTr="00B133FE">
        <w:trPr>
          <w:trHeight w:val="937"/>
        </w:trPr>
        <w:tc>
          <w:tcPr>
            <w:tcW w:w="9669" w:type="dxa"/>
            <w:gridSpan w:val="14"/>
          </w:tcPr>
          <w:p w:rsidR="00786981" w:rsidRPr="0035578F" w:rsidRDefault="00786981" w:rsidP="00B133FE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olgu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mutlak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v.b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ifade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tarihine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edinme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araştırmanın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görüşleri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problem,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evren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toplanması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verilerin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kaydedilmesi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yorumlanması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raporlaştırılması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konularında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genel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786981" w:rsidRPr="0035578F" w:rsidTr="00B133FE">
        <w:trPr>
          <w:trHeight w:val="274"/>
        </w:trPr>
        <w:tc>
          <w:tcPr>
            <w:tcW w:w="8209" w:type="dxa"/>
            <w:gridSpan w:val="11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trHeight w:val="285"/>
        </w:trPr>
        <w:tc>
          <w:tcPr>
            <w:tcW w:w="8209" w:type="dxa"/>
            <w:gridSpan w:val="11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:rsidTr="00B133FE">
        <w:trPr>
          <w:trHeight w:val="286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yöntemi ile ilgili temel kavramları tanımlar</w:t>
            </w:r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araştırmanın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problemini, amacını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önemini</w:t>
            </w:r>
            <w:proofErr w:type="gram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ifade eder.</w:t>
            </w:r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Bilimsel araştırma önerisi hazırlama sürecini açıklar ve uygular.</w:t>
            </w:r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 ile ilgili temel kavramları tanımlar.</w:t>
            </w:r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İstatistiksel hipotez yazar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güvenirlik normallik testi gibi kavramları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Doğrusal ilişkinin ölçülmesi için gerekli testleri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bilir ve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uygular.</w:t>
            </w:r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Nicel, nitel ve karma yöntemleri bilir ve açıklar </w:t>
            </w: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Bilimsel araştırma </w:t>
            </w:r>
            <w:proofErr w:type="spellStart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>raporlaştırma</w:t>
            </w:r>
            <w:proofErr w:type="spellEnd"/>
            <w:r w:rsidRPr="003D11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sürecini açıklar ve uygular.</w:t>
            </w:r>
          </w:p>
        </w:tc>
        <w:tc>
          <w:tcPr>
            <w:tcW w:w="1460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86981" w:rsidRPr="0035578F" w:rsidTr="00B133FE">
        <w:trPr>
          <w:trHeight w:val="286"/>
        </w:trPr>
        <w:tc>
          <w:tcPr>
            <w:tcW w:w="9669" w:type="dxa"/>
            <w:gridSpan w:val="1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86981" w:rsidRPr="0035578F" w:rsidTr="00B133FE">
        <w:trPr>
          <w:trHeight w:val="314"/>
        </w:trPr>
        <w:tc>
          <w:tcPr>
            <w:tcW w:w="9669" w:type="dxa"/>
            <w:gridSpan w:val="1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86981" w:rsidRPr="0035578F" w:rsidTr="00B133FE">
        <w:trPr>
          <w:trHeight w:val="286"/>
        </w:trPr>
        <w:tc>
          <w:tcPr>
            <w:tcW w:w="8750" w:type="dxa"/>
            <w:gridSpan w:val="1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:rsidTr="00B133FE">
        <w:trPr>
          <w:trHeight w:val="286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Türkçeyi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kurallarına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güzel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sağlıklı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kurabilme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</w:rPr>
              <w:t>Duygu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düşüncelerini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sözlü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anlaşılır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ifade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:rsidTr="00B133FE">
        <w:trPr>
          <w:trHeight w:val="240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Türkçe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nin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ana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yetkinlik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kazanır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</w:rPr>
              <w:t>Avrupa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Birliği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Ortak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Kriterlerini</w:t>
            </w:r>
            <w:proofErr w:type="spellEnd"/>
            <w:proofErr w:type="gramStart"/>
            <w:r w:rsidRPr="00786981">
              <w:rPr>
                <w:sz w:val="20"/>
                <w:szCs w:val="20"/>
              </w:rPr>
              <w:t xml:space="preserve">,  </w:t>
            </w:r>
            <w:proofErr w:type="spellStart"/>
            <w:r w:rsidRPr="00786981">
              <w:rPr>
                <w:sz w:val="20"/>
                <w:szCs w:val="20"/>
              </w:rPr>
              <w:t>Türkçenin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kullanır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:rsidTr="00B133FE">
        <w:trPr>
          <w:trHeight w:val="468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Öğretmenlik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alanıyla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tekniklerini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; </w:t>
            </w:r>
            <w:proofErr w:type="spellStart"/>
            <w:r w:rsidRPr="00786981">
              <w:rPr>
                <w:sz w:val="20"/>
                <w:szCs w:val="20"/>
              </w:rPr>
              <w:t>ölçme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değerlendirme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yöntemlerini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uygular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:rsidTr="00B133FE">
        <w:trPr>
          <w:trHeight w:val="284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takip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kadar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yabancı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iletişim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teknolojilerini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teknik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pedagojik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olarak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becerisinie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:rsidTr="00B133FE">
        <w:trPr>
          <w:trHeight w:val="350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Ortaöğretim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düzeyindeki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öğrenme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biçimlerini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bilir</w:t>
            </w:r>
            <w:proofErr w:type="spellEnd"/>
            <w:r w:rsidRPr="00786981">
              <w:rPr>
                <w:sz w:val="20"/>
                <w:szCs w:val="20"/>
              </w:rPr>
              <w:t xml:space="preserve">; </w:t>
            </w:r>
            <w:proofErr w:type="spellStart"/>
            <w:r w:rsidRPr="00786981">
              <w:rPr>
                <w:sz w:val="20"/>
                <w:szCs w:val="20"/>
              </w:rPr>
              <w:t>bu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özelliklere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uygun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planlama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yapar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:rsidTr="00B133FE">
        <w:trPr>
          <w:trHeight w:val="28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eğitim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sisteminin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yapısı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tarihsel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gelişimi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hakkında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yeterli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bilgiye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:rsidTr="00786981">
        <w:trPr>
          <w:trHeight w:val="269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Alanı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eski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alfabemizle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kaynakları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kullanabilecek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Osmanlı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Türkçesi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dünyasının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lehçeleriyle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yazılmış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anlayabilecek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Çağdaş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Türk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lastRenderedPageBreak/>
              <w:t>Lehçeleri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786981" w:rsidRPr="0035578F" w:rsidTr="00B133FE">
        <w:trPr>
          <w:trHeight w:val="357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Öğrencilerin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edebî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diğer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derinlemesine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doğru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kavramaları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gerekli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alt </w:t>
            </w:r>
            <w:proofErr w:type="spellStart"/>
            <w:r w:rsidRPr="00786981">
              <w:rPr>
                <w:sz w:val="20"/>
                <w:szCs w:val="20"/>
              </w:rPr>
              <w:t>yapıyı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hazırlayacak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donanıma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:rsidTr="00B133FE">
        <w:trPr>
          <w:trHeight w:val="468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786981">
              <w:rPr>
                <w:sz w:val="20"/>
                <w:szCs w:val="20"/>
              </w:rPr>
              <w:t>Değişik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ülke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kültür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ait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metinleri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anlayıp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ilgi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duyabilecek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derecede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Doğu</w:t>
            </w:r>
            <w:proofErr w:type="spellEnd"/>
            <w:r w:rsidRPr="00786981">
              <w:rPr>
                <w:sz w:val="20"/>
                <w:szCs w:val="20"/>
              </w:rPr>
              <w:t xml:space="preserve">  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Batı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edebiyatları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bilgisine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sahip</w:t>
            </w:r>
            <w:proofErr w:type="spellEnd"/>
            <w:r w:rsidRPr="00786981">
              <w:rPr>
                <w:sz w:val="20"/>
                <w:szCs w:val="20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</w:rPr>
              <w:t>olur</w:t>
            </w:r>
            <w:proofErr w:type="spellEnd"/>
            <w:proofErr w:type="gramEnd"/>
            <w:r w:rsidRPr="0078698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6981" w:rsidRPr="0035578F" w:rsidTr="00B133FE">
        <w:trPr>
          <w:trHeight w:val="363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güzellik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duygusunun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786981">
              <w:rPr>
                <w:sz w:val="20"/>
                <w:szCs w:val="20"/>
              </w:rPr>
              <w:t>estetik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zevkin</w:t>
            </w:r>
            <w:proofErr w:type="spellEnd"/>
            <w:r w:rsidRPr="00786981">
              <w:rPr>
                <w:sz w:val="20"/>
                <w:szCs w:val="20"/>
              </w:rPr>
              <w:t xml:space="preserve">) </w:t>
            </w:r>
            <w:proofErr w:type="spellStart"/>
            <w:r w:rsidRPr="00786981">
              <w:rPr>
                <w:sz w:val="20"/>
                <w:szCs w:val="20"/>
              </w:rPr>
              <w:t>gelişmesi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için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kişisel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</w:rPr>
              <w:t>bilgi</w:t>
            </w:r>
            <w:proofErr w:type="spellEnd"/>
            <w:r w:rsidRPr="00786981">
              <w:rPr>
                <w:sz w:val="20"/>
                <w:szCs w:val="20"/>
              </w:rPr>
              <w:t xml:space="preserve"> ,</w:t>
            </w:r>
            <w:proofErr w:type="gram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beceri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heyecanlarını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geliştirici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etkinlikler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oluşturur</w:t>
            </w:r>
            <w:proofErr w:type="spellEnd"/>
            <w:r w:rsidRPr="00786981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:rsidTr="00B133FE">
        <w:trPr>
          <w:trHeight w:val="6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Atatürk </w:t>
            </w:r>
            <w:proofErr w:type="spellStart"/>
            <w:r w:rsidRPr="00786981">
              <w:rPr>
                <w:sz w:val="20"/>
                <w:szCs w:val="20"/>
              </w:rPr>
              <w:t>İlke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İnkılâplarına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ağlı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demokrasiye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inanan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</w:t>
            </w:r>
            <w:r w:rsidRPr="00786981">
              <w:rPr>
                <w:sz w:val="20"/>
                <w:szCs w:val="20"/>
              </w:rPr>
              <w:t>illî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manevi</w:t>
            </w:r>
            <w:proofErr w:type="spellEnd"/>
            <w:r w:rsidRPr="00786981">
              <w:rPr>
                <w:sz w:val="20"/>
                <w:szCs w:val="20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</w:rPr>
              <w:t>ahlakî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kültürel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değerlerin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bilincinde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olan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ve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bunlara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mesleğinde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duyarlılık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gösteren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bir</w:t>
            </w:r>
            <w:proofErr w:type="spellEnd"/>
            <w:r w:rsidRPr="00786981">
              <w:rPr>
                <w:sz w:val="20"/>
                <w:szCs w:val="20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</w:rPr>
              <w:t>öğretmenolur</w:t>
            </w:r>
            <w:proofErr w:type="spellEnd"/>
            <w:r w:rsidRPr="00786981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:rsidR="00786981" w:rsidRPr="001D3CB2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:rsidTr="00B133FE">
        <w:trPr>
          <w:trHeight w:val="6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analitik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yöntem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tekniklerini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bilir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araştırmacı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öğretmen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rolü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üstlenir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786981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:rsidTr="00B133FE">
        <w:trPr>
          <w:trHeight w:val="65"/>
        </w:trPr>
        <w:tc>
          <w:tcPr>
            <w:tcW w:w="5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çevreye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insana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sanatsal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faaaliyetlere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spora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duyarlı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olur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faydalı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geleceğe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güvenle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bakan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araştıran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sorgulayan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bireyler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yetiştirir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. 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Okulun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kültür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981">
              <w:rPr>
                <w:sz w:val="20"/>
                <w:szCs w:val="20"/>
                <w:shd w:val="clear" w:color="auto" w:fill="FFFFFF"/>
              </w:rPr>
              <w:t>merkezi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haline</w:t>
            </w:r>
            <w:proofErr w:type="spellEnd"/>
            <w:proofErr w:type="gram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getirilmesinde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toplumla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işbirliği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yapabilme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becerisi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86981">
              <w:rPr>
                <w:sz w:val="20"/>
                <w:szCs w:val="20"/>
                <w:shd w:val="clear" w:color="auto" w:fill="FFFFFF"/>
              </w:rPr>
              <w:t>kazandırır</w:t>
            </w:r>
            <w:proofErr w:type="spellEnd"/>
            <w:r w:rsidRPr="00786981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:rsidR="00786981" w:rsidRDefault="00786981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:rsidTr="00B133FE">
        <w:trPr>
          <w:trHeight w:val="286"/>
        </w:trPr>
        <w:tc>
          <w:tcPr>
            <w:tcW w:w="9669" w:type="dxa"/>
            <w:gridSpan w:val="1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86981" w:rsidRPr="0035578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86981" w:rsidRPr="0035578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786981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B956E6" w:rsidRDefault="00786981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Bilimsel Araştırma temel kavramlar ve tanımlar</w:t>
            </w:r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Amacına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Sürecinin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içerikleri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aşamaları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problemi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Nitel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araştırma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teknikleri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Araştıra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seçimi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hipotez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1.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proofErr w:type="gram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2. Tip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hata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türleri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Örnekleme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modelleri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analizi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bulgu</w:t>
            </w:r>
            <w:proofErr w:type="spellEnd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56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APA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stiline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atıf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kaynakça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yazımı</w:t>
            </w:r>
            <w:proofErr w:type="spellEnd"/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786981" w:rsidRPr="0035578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786981" w:rsidRPr="0035578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786981" w:rsidRPr="00B02DAF" w:rsidRDefault="00786981" w:rsidP="00B133F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Bilimsel a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raştırma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öntemi.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786981" w:rsidRDefault="00786981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786981" w:rsidRPr="00B02DAF" w:rsidRDefault="00786981" w:rsidP="00B133F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Karasar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N. (2007).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Araştırmalarda rapor hazırlama</w:t>
            </w: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Nobel Yayınevi, Ankara. </w:t>
            </w:r>
            <w:proofErr w:type="gramEnd"/>
          </w:p>
          <w:p w:rsidR="00786981" w:rsidRPr="00B02DAF" w:rsidRDefault="00786981" w:rsidP="00B133F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Büyüköztürk, Ş</w:t>
            </w:r>
            <w:proofErr w:type="gram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Çakmak, E. K., Akgün, Ö. E., Karadeniz, Ş. ve Demirel, F. (2008). </w:t>
            </w:r>
            <w:r w:rsidRPr="00B02D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Bilimsel araştırma yöntemleri. </w:t>
            </w:r>
            <w:proofErr w:type="spellStart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>Pegem</w:t>
            </w:r>
            <w:proofErr w:type="spellEnd"/>
            <w:r w:rsidRPr="00B02D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Akademi Yayınevi, Ankara. </w:t>
            </w:r>
          </w:p>
          <w:p w:rsidR="00786981" w:rsidRPr="0035578F" w:rsidRDefault="00786981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86981" w:rsidRPr="0035578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786981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86981" w:rsidRPr="0035578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3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786981" w:rsidRPr="0035578F" w:rsidRDefault="00786981" w:rsidP="0030301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030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30301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030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86981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bookmarkEnd w:id="0"/>
      <w:tr w:rsidR="00786981" w:rsidRPr="0035578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786981" w:rsidRPr="0035578F" w:rsidRDefault="00303017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786981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3030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86981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786981" w:rsidRPr="0035578F" w:rsidRDefault="00303017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86981" w:rsidRPr="0035578F" w:rsidRDefault="00786981" w:rsidP="00786981">
      <w:pPr>
        <w:rPr>
          <w:b/>
        </w:rPr>
      </w:pPr>
    </w:p>
    <w:p w:rsidR="00786981" w:rsidRDefault="00786981" w:rsidP="00786981"/>
    <w:p w:rsidR="00786981" w:rsidRDefault="00786981" w:rsidP="00786981"/>
    <w:p w:rsidR="00786981" w:rsidRDefault="00786981" w:rsidP="00786981"/>
    <w:p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1"/>
    <w:rsid w:val="00303017"/>
    <w:rsid w:val="00786981"/>
    <w:rsid w:val="007C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1013</Words>
  <Characters>5780</Characters>
  <Application>Microsoft Office Word</Application>
  <DocSecurity>0</DocSecurity>
  <Lines>48</Lines>
  <Paragraphs>13</Paragraphs>
  <ScaleCrop>false</ScaleCrop>
  <Company>By NeC ® 2010 | Katilimsiz.Com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2023-03-25T17:39:00Z</dcterms:created>
  <dcterms:modified xsi:type="dcterms:W3CDTF">2023-03-25T18:21:00Z</dcterms:modified>
</cp:coreProperties>
</file>