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6" w:rsidRPr="0035578F" w:rsidRDefault="006A3796" w:rsidP="006A379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6A3796" w:rsidRPr="0035578F" w:rsidRDefault="006A3796" w:rsidP="006A379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6A3796" w:rsidRPr="0035578F" w:rsidRDefault="006A3796" w:rsidP="006A379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ÖY’de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Duygusal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Rehberlik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621BF" w:rsidP="006621B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OZEAS408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7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8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6A3796" w:rsidRPr="0035578F" w:rsidTr="00454051">
        <w:trPr>
          <w:trHeight w:val="937"/>
        </w:trPr>
        <w:tc>
          <w:tcPr>
            <w:tcW w:w="9669" w:type="dxa"/>
            <w:gridSpan w:val="14"/>
          </w:tcPr>
          <w:p w:rsidR="006A3796" w:rsidRPr="006621BF" w:rsidRDefault="006621BF" w:rsidP="004540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dersin amacı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öğrencilere, özel yetenekli bireylerin özellikleri,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duygusal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ve kişilik gelişimleri, özel yetenekli bireylerin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duygusal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ve eğitimsel gereksinimleri, bu bireyler için </w:t>
            </w:r>
            <w:r w:rsidRPr="00EA05BC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EA05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ve kariyer danışmanlığı konularında bilgi kazandırmak.</w:t>
            </w:r>
            <w:bookmarkEnd w:id="0"/>
          </w:p>
        </w:tc>
      </w:tr>
      <w:tr w:rsidR="006A3796" w:rsidRPr="0035578F" w:rsidTr="00454051">
        <w:trPr>
          <w:trHeight w:val="274"/>
        </w:trPr>
        <w:tc>
          <w:tcPr>
            <w:tcW w:w="8209" w:type="dxa"/>
            <w:gridSpan w:val="11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trHeight w:val="285"/>
        </w:trPr>
        <w:tc>
          <w:tcPr>
            <w:tcW w:w="8209" w:type="dxa"/>
            <w:gridSpan w:val="11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A3796" w:rsidRPr="0035578F" w:rsidTr="00454051">
        <w:trPr>
          <w:trHeight w:val="286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yetenekli çocukların özelliklerini tanımlar.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Üstün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/yetenek etiketinin olum ve olumsuz yansımalarını açıklar.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yetenekli çocuklardaki eş zamanlı olmayan gelişimi açıklar.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yetenekli çocuklarda düşük başarıyı açıklar.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6621B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yetenekli çocuklarda çoklu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potansiyellik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mükkemelliyetçiliği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tanımlar.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yetenekli çocuklarda sosyal – duygusal gelişimi açıklar.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6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6A3796" w:rsidRPr="0035578F" w:rsidTr="00454051">
        <w:trPr>
          <w:trHeight w:val="314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6A3796" w:rsidRPr="0035578F" w:rsidTr="00454051">
        <w:trPr>
          <w:trHeight w:val="286"/>
        </w:trPr>
        <w:tc>
          <w:tcPr>
            <w:tcW w:w="8750" w:type="dxa"/>
            <w:gridSpan w:val="1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A3796" w:rsidRPr="0035578F" w:rsidTr="00454051">
        <w:trPr>
          <w:trHeight w:val="286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 kuramsal ve uygulamaya yönelik bilgi ile bu bilgiye katkıda bulunacak farklı disiplinlere ilişkin temel kavram, ilke ve kuramların bilgisine sahip olur.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240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Alanındaki kuramların temel kavram, ilke ve tekniklerini sözel olarak ifade eder.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468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Alanındaki kuramları karşılaştırıp, her bir kuramın güçlü ve zayıf yönlerini sözel olarak listeler.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3796" w:rsidRPr="0035578F" w:rsidTr="00454051">
        <w:trPr>
          <w:trHeight w:val="284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Eğitim programının üç öğesi olan içerik, süreç ve ürünü öğrencilerin hazır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bulunuşluk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, ilgi ve öğrenme </w:t>
            </w:r>
            <w:proofErr w:type="gramStart"/>
            <w:r w:rsidRPr="00914374">
              <w:rPr>
                <w:sz w:val="20"/>
                <w:szCs w:val="20"/>
                <w:lang w:val="tr-TR"/>
              </w:rPr>
              <w:t>profili</w:t>
            </w:r>
            <w:proofErr w:type="gramEnd"/>
            <w:r w:rsidRPr="00914374">
              <w:rPr>
                <w:sz w:val="20"/>
                <w:szCs w:val="20"/>
                <w:lang w:val="tr-TR"/>
              </w:rPr>
              <w:t xml:space="preserve"> gibi öğrenci niteliklerine göre farklılaştırılmış ders plânlarını çeşitli disiplinlerde geliştirir, uygular ve değerlendirir.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Öğrencilerini tüm gelişim (zihinsel, fiziksel, duygusal, sosyal, kişilik vb.) alanlarını dikkate alarak bir bütün olarak geliştirecek bilgiye sahip olur ve öğrencilerini bu alanlarda geliştirmek üzere ilgili teknikleri uygular.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350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Alanıyla ilgili olay ve olguları bilimsel yöntem ve tekniklerle inceler; verileri yorumlar, değerlendirir, sorunları tanımlar, analiz eder, kanıtlara ve araştırmalara dayalı çözüm önerileri geliştirir.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ilgili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uygulamalarda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karşılaşılan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karmaşık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sorunları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çözmek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bireysel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çeşitli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disiplinlerden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meslektaşlarının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oluşturduğu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ekibin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üyesi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olarak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sorumluluk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269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gereksinimlerine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göre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belirlediği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kişisel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hedeflerine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ulaşabilmek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yaşam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boyu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lastRenderedPageBreak/>
              <w:t>ilkelerini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tutumuna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sahip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6A3796" w:rsidRPr="0035578F" w:rsidTr="00454051">
        <w:trPr>
          <w:trHeight w:val="357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Özel eğitime ilişkin yeni gelişmeleri yayın taraması, seminer, konferans,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çalıştay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gibi mesleki etkinler yoluyla izler ve bilgilerini ilgili kişi ve kurumlarla paylaşır</w:t>
            </w:r>
            <w:r w:rsidRPr="00914374">
              <w:rPr>
                <w:b/>
                <w:sz w:val="20"/>
                <w:szCs w:val="20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3796" w:rsidRPr="0035578F" w:rsidTr="00454051">
        <w:trPr>
          <w:trHeight w:val="468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  <w:lang w:val="tr-TR"/>
              </w:rPr>
              <w:t>Türkçe</w:t>
            </w:r>
            <w:r>
              <w:rPr>
                <w:sz w:val="20"/>
                <w:szCs w:val="20"/>
                <w:lang w:val="tr-TR"/>
              </w:rPr>
              <w:t>’</w:t>
            </w:r>
            <w:r w:rsidRPr="00914374">
              <w:rPr>
                <w:sz w:val="20"/>
                <w:szCs w:val="20"/>
                <w:lang w:val="tr-TR"/>
              </w:rPr>
              <w:t>yi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doğru ve etkili kullanır.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3796" w:rsidRPr="0035578F" w:rsidTr="00454051">
        <w:trPr>
          <w:trHeight w:val="363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Toplumsal sorumluluk bilinciyle yaşadığı sosyal çevre için mesleki proje ve etkinlikler planlar ve uygular.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dili</w:t>
            </w:r>
            <w:proofErr w:type="spellEnd"/>
            <w:r w:rsidRPr="00914374">
              <w:rPr>
                <w:sz w:val="20"/>
                <w:szCs w:val="20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alanındaki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uluslararası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gelişmeleri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izleyebilecek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iletişim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kurabilecek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düzeyde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kullanır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  <w:lang w:val="tr-TR"/>
              </w:rPr>
              <w:t>Mesleğiyle ilgili temel kavramları bilir.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Mesleğiyle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ilgili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uygular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konuda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yöntemini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seçerek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</w:rPr>
              <w:t xml:space="preserve">Alana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ilişkin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yaptığı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çalışma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aşamalarında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ulusal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evrensel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duyarlılıkların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bilinci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içinde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kültürel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değerlere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saygılı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hareket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özelliğini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göstermesinin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yanı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sıra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yenilikçi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üretken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kişilik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sergiler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EA05BC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286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B956E6" w:rsidRDefault="006621BF" w:rsidP="004540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Yeteneklilerde Psikolojik İyi Oluş Hali</w:t>
            </w: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Algısı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Ergenlerde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Yalnızlık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Zorbalığına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Etiketlenme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Beklenmedik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Terki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Davranışları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Kişilerde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Mükemmelliyetçilik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Olgusu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DEHB</w:t>
            </w: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Motivasyon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Disiplin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621BF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Yetenekli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Potansiyel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Kariyer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A3796" w:rsidRPr="0035578F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A3796" w:rsidRPr="00EA05BC" w:rsidRDefault="00EA05BC" w:rsidP="0045405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Sak, U</w:t>
            </w:r>
            <w:r w:rsidR="006A3796"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Özel Yetenekli Öğrencilerin Sosyal Duygusal ve Akademik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Gelişmi</w:t>
            </w:r>
            <w:proofErr w:type="spellEnd"/>
            <w:r w:rsidR="006A3796"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Ankara: PEGEM Akademi</w:t>
            </w:r>
          </w:p>
          <w:p w:rsidR="006A3796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6A3796" w:rsidRPr="0035578F" w:rsidRDefault="006A3796" w:rsidP="00EA05B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A3796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A3796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A3796" w:rsidRPr="0035578F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6A3796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6A3796" w:rsidRPr="0035578F" w:rsidRDefault="00EA05BC" w:rsidP="00EA05BC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84</w:t>
            </w:r>
            <w:r w:rsidR="006A3796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A3796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EA05BC" w:rsidP="0045405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2,8</w:t>
            </w:r>
          </w:p>
        </w:tc>
      </w:tr>
    </w:tbl>
    <w:p w:rsidR="006A3796" w:rsidRPr="0035578F" w:rsidRDefault="006A3796" w:rsidP="006A37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A3796" w:rsidRPr="0035578F" w:rsidRDefault="006A3796" w:rsidP="006A3796">
      <w:pPr>
        <w:rPr>
          <w:b/>
        </w:rPr>
      </w:pPr>
    </w:p>
    <w:p w:rsidR="006A3796" w:rsidRDefault="006A3796" w:rsidP="006A3796"/>
    <w:p w:rsidR="006A3796" w:rsidRDefault="006A3796" w:rsidP="006A3796"/>
    <w:p w:rsidR="006A3796" w:rsidRDefault="006A3796" w:rsidP="006A3796"/>
    <w:p w:rsidR="006A3796" w:rsidRDefault="006A3796" w:rsidP="006A3796"/>
    <w:p w:rsidR="004D1CD9" w:rsidRDefault="004D1CD9"/>
    <w:sectPr w:rsidR="004D1CD9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96"/>
    <w:rsid w:val="004D1CD9"/>
    <w:rsid w:val="006621BF"/>
    <w:rsid w:val="006A3796"/>
    <w:rsid w:val="00E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A037E-6D81-4164-95F5-0939AF8A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379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A3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2023-04-05T12:58:00Z</dcterms:created>
  <dcterms:modified xsi:type="dcterms:W3CDTF">2023-04-05T12:58:00Z</dcterms:modified>
</cp:coreProperties>
</file>