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Quality Management Systems in Aviation</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AVM408</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 Aviation 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Year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 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4</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8</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D0F2E5D">
            <w:pPr>
              <w:numPr>
                <w:ilvl w:val="0"/>
                <w:numId w:val="1"/>
              </w:numPr>
              <w:spacing w:after="0" w:line="240" w:lineRule="auto"/>
              <w:ind w:left="476" w:hanging="363"/>
              <w:rPr>
                <w:rFonts w:ascii="Times New Roman" w:hAnsi="Times New Roman" w:cs="Times New Roman"/>
                <w:sz w:val="20"/>
                <w:szCs w:val="20"/>
                <w:lang w:val="en-US"/>
              </w:rPr>
            </w:pPr>
            <w:r>
              <w:rPr>
                <w:rFonts w:ascii="Times New Roman" w:hAnsi="Times New Roman" w:cs="Times New Roman"/>
                <w:sz w:val="20"/>
                <w:szCs w:val="20"/>
                <w:lang w:val="en-US"/>
              </w:rPr>
              <w:t>Teaching a total quality management and quality management system in aviation.</w:t>
            </w:r>
          </w:p>
          <w:p w14:paraId="27890D4F">
            <w:pPr>
              <w:pStyle w:val="10"/>
              <w:numPr>
                <w:ilvl w:val="0"/>
                <w:numId w:val="1"/>
              </w:numPr>
              <w:tabs>
                <w:tab w:val="left" w:pos="468"/>
                <w:tab w:val="left" w:pos="469"/>
              </w:tabs>
              <w:ind w:left="476" w:hanging="363"/>
              <w:rPr>
                <w:rFonts w:ascii="Times New Roman" w:hAnsi="Times New Roman" w:cs="Times New Roman"/>
                <w:sz w:val="20"/>
                <w:szCs w:val="20"/>
              </w:rPr>
            </w:pPr>
            <w:r>
              <w:rPr>
                <w:rFonts w:ascii="Times New Roman" w:hAnsi="Times New Roman" w:cs="Times New Roman"/>
                <w:sz w:val="20"/>
                <w:szCs w:val="20"/>
              </w:rPr>
              <w:t>Teaching the future trends of total quality approaches in the view of business and industry practices.</w:t>
            </w:r>
          </w:p>
          <w:p w14:paraId="7B3EEFB8">
            <w:pPr>
              <w:pStyle w:val="10"/>
              <w:tabs>
                <w:tab w:val="left" w:pos="468"/>
                <w:tab w:val="left" w:pos="469"/>
              </w:tabs>
              <w:ind w:left="476"/>
              <w:rPr>
                <w:rFonts w:ascii="Times New Roman" w:hAnsi="Times New Roman" w:cs="Times New Roman"/>
                <w:sz w:val="20"/>
                <w:szCs w:val="20"/>
              </w:rPr>
            </w:pP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10"/>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4676C2B">
            <w:pPr>
              <w:pStyle w:val="10"/>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z w:val="20"/>
                <w:szCs w:val="20"/>
              </w:rPr>
              <w:t>The philosophy of quality, analysis and measurement tools of total quality management, quality costs and quality management will be thought with the light of business approaches. The course begins with the general definitions of quality in line with business perspective and continues with main principles of management and human factors of total quality along with standards and certifications issues. The course also provides an overview about the quality management system tools and techniques used in aviation era.</w:t>
            </w:r>
          </w:p>
          <w:p w14:paraId="1B68B075">
            <w:pPr>
              <w:pStyle w:val="10"/>
              <w:tabs>
                <w:tab w:val="left" w:pos="576"/>
                <w:tab w:val="left" w:pos="577"/>
              </w:tabs>
              <w:ind w:left="177" w:right="136"/>
              <w:jc w:val="both"/>
              <w:rPr>
                <w:rFonts w:ascii="Times New Roman" w:hAnsi="Times New Roman" w:cs="Times New Roman"/>
                <w:sz w:val="20"/>
                <w:szCs w:val="20"/>
              </w:rPr>
            </w:pP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total quality management in aviation.</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philosophy and importance of quality in aviation operations.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quality management systems and their applications in the aviation industry.</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basic quality measurement and analysis tools.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1,2,5</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quality costs and their impact on aviation organizations.</w:t>
            </w:r>
          </w:p>
        </w:tc>
        <w:tc>
          <w:tcPr>
            <w:tcW w:w="1460" w:type="dxa"/>
            <w:gridSpan w:val="3"/>
          </w:tcPr>
          <w:p w14:paraId="3ED5162D">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aviation standards, certifications, and compliance requirements.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role of human factors in quality management systems.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continuous improvement practices in aviation organizations.</w:t>
            </w:r>
          </w:p>
        </w:tc>
        <w:tc>
          <w:tcPr>
            <w:tcW w:w="1460" w:type="dxa"/>
            <w:gridSpan w:val="3"/>
          </w:tcPr>
          <w:p w14:paraId="135B3C3F">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ight="123"/>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modern quality management trends in aviation.</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Plan and manage airport operational processes.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2C816EA6">
            <w:pPr>
              <w:widowControl w:val="0"/>
              <w:autoSpaceDE w:val="0"/>
              <w:autoSpaceDN w:val="0"/>
              <w:spacing w:before="2" w:after="0" w:line="240" w:lineRule="auto"/>
              <w:ind w:left="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civil aviation regulations and legislation.</w:t>
            </w:r>
          </w:p>
        </w:tc>
        <w:tc>
          <w:tcPr>
            <w:tcW w:w="919" w:type="dxa"/>
            <w:gridSpan w:val="2"/>
          </w:tcPr>
          <w:p w14:paraId="6C2A4099">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Interpret national and international aviation rules and standards.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Conduct aviation finance and cost analysis.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bookmarkStart w:id="0" w:name="_GoBack"/>
            <w:bookmarkEnd w:id="0"/>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125D3873">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745E3F6D">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Introduction to QMS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Overview of Quality</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Quality Management Systems</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Total Quality Management</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Terms and Definitions</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ISO9001 – Quality Management System</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Risk management in QMS (risk base thinking, integrating risk thinking with QMS)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 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SHT-121.23 Regulation</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SHT-1A Regulation</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SHY-6A Regulation</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Documentation in QMS</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Audit Procedures</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Relationship between QMS and SMS</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 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trPr>
        <w:tc>
          <w:tcPr>
            <w:tcW w:w="9669" w:type="dxa"/>
            <w:gridSpan w:val="13"/>
            <w:vAlign w:val="center"/>
          </w:tcPr>
          <w:p w14:paraId="408C4DE3">
            <w:pPr>
              <w:ind w:left="166" w:right="346"/>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Textbook: </w:t>
            </w:r>
            <w:r>
              <w:rPr>
                <w:rFonts w:ascii="Times New Roman" w:hAnsi="Times New Roman" w:cs="Times New Roman"/>
                <w:sz w:val="20"/>
                <w:szCs w:val="20"/>
                <w:lang w:val="en-US"/>
              </w:rPr>
              <w:t>David L. GOETSCH, “Quality Management for Organizational Excellence”, 1th edition, Pearson Education, New Jersey, 2010.</w:t>
            </w:r>
          </w:p>
          <w:p w14:paraId="6194E0D1">
            <w:pPr>
              <w:ind w:left="166" w:right="346"/>
              <w:jc w:val="both"/>
              <w:rPr>
                <w:rFonts w:ascii="Times New Roman" w:hAnsi="Times New Roman" w:cs="Times New Roman"/>
                <w:b/>
                <w:sz w:val="20"/>
                <w:szCs w:val="20"/>
                <w:lang w:val="en-US"/>
              </w:rPr>
            </w:pPr>
            <w:r>
              <w:rPr>
                <w:rFonts w:ascii="Times New Roman" w:hAnsi="Times New Roman" w:cs="Times New Roman"/>
                <w:b/>
                <w:sz w:val="20"/>
                <w:szCs w:val="20"/>
                <w:lang w:val="en-US"/>
              </w:rPr>
              <w:t>Supplementary Material(s):</w:t>
            </w:r>
          </w:p>
          <w:p w14:paraId="2781AC96">
            <w:pPr>
              <w:pStyle w:val="8"/>
              <w:spacing w:before="120" w:beforeAutospacing="0" w:after="0" w:afterAutospacing="0"/>
              <w:ind w:left="166" w:right="346"/>
              <w:jc w:val="both"/>
              <w:rPr>
                <w:color w:val="000000"/>
                <w:sz w:val="20"/>
                <w:szCs w:val="20"/>
              </w:rPr>
            </w:pPr>
            <w:r>
              <w:rPr>
                <w:color w:val="000000"/>
                <w:sz w:val="20"/>
                <w:szCs w:val="20"/>
              </w:rPr>
              <w:t>International Organization for Standardization. (2015).</w:t>
            </w:r>
            <w:r>
              <w:rPr>
                <w:rStyle w:val="11"/>
                <w:color w:val="000000"/>
                <w:sz w:val="20"/>
                <w:szCs w:val="20"/>
              </w:rPr>
              <w:t> </w:t>
            </w:r>
            <w:r>
              <w:rPr>
                <w:rStyle w:val="5"/>
                <w:color w:val="000000"/>
                <w:sz w:val="20"/>
                <w:szCs w:val="20"/>
              </w:rPr>
              <w:t>ISO 9001:2015 quality management systems—Requirements</w:t>
            </w:r>
            <w:r>
              <w:rPr>
                <w:color w:val="000000"/>
                <w:sz w:val="20"/>
                <w:szCs w:val="20"/>
              </w:rPr>
              <w:t>. ISO.</w:t>
            </w:r>
          </w:p>
          <w:p w14:paraId="34C6B73B">
            <w:pPr>
              <w:pStyle w:val="8"/>
              <w:spacing w:before="120" w:beforeAutospacing="0" w:after="0" w:afterAutospacing="0"/>
              <w:ind w:left="166" w:right="346"/>
              <w:jc w:val="both"/>
              <w:rPr>
                <w:color w:val="000000"/>
                <w:sz w:val="20"/>
                <w:szCs w:val="20"/>
              </w:rPr>
            </w:pPr>
            <w:r>
              <w:rPr>
                <w:color w:val="000000"/>
                <w:sz w:val="20"/>
                <w:szCs w:val="20"/>
              </w:rPr>
              <w:t>International Civil Aviation Organization. (2022).</w:t>
            </w:r>
            <w:r>
              <w:rPr>
                <w:rStyle w:val="11"/>
                <w:color w:val="000000"/>
                <w:sz w:val="20"/>
                <w:szCs w:val="20"/>
              </w:rPr>
              <w:t> </w:t>
            </w:r>
            <w:r>
              <w:rPr>
                <w:rStyle w:val="5"/>
                <w:color w:val="000000"/>
                <w:sz w:val="20"/>
                <w:szCs w:val="20"/>
              </w:rPr>
              <w:t>Safety management manual (SMM)</w:t>
            </w:r>
            <w:r>
              <w:rPr>
                <w:rStyle w:val="11"/>
                <w:color w:val="000000"/>
                <w:sz w:val="20"/>
                <w:szCs w:val="20"/>
              </w:rPr>
              <w:t> </w:t>
            </w:r>
            <w:r>
              <w:rPr>
                <w:color w:val="000000"/>
                <w:sz w:val="20"/>
                <w:szCs w:val="20"/>
              </w:rPr>
              <w:t>(4th ed., Doc 9859). ICAO.</w:t>
            </w:r>
          </w:p>
          <w:p w14:paraId="467029E0">
            <w:pPr>
              <w:pStyle w:val="8"/>
              <w:spacing w:before="120" w:beforeAutospacing="0" w:after="0" w:afterAutospacing="0"/>
              <w:ind w:left="166" w:right="346"/>
              <w:jc w:val="both"/>
              <w:rPr>
                <w:color w:val="000000"/>
                <w:sz w:val="20"/>
                <w:szCs w:val="20"/>
              </w:rPr>
            </w:pPr>
            <w:r>
              <w:rPr>
                <w:color w:val="000000"/>
                <w:sz w:val="20"/>
                <w:szCs w:val="20"/>
              </w:rPr>
              <w:t>International Civil Aviation Organization. (2022).</w:t>
            </w:r>
            <w:r>
              <w:rPr>
                <w:rStyle w:val="11"/>
                <w:color w:val="000000"/>
                <w:sz w:val="20"/>
                <w:szCs w:val="20"/>
              </w:rPr>
              <w:t> </w:t>
            </w:r>
            <w:r>
              <w:rPr>
                <w:rStyle w:val="5"/>
                <w:color w:val="000000"/>
                <w:sz w:val="20"/>
                <w:szCs w:val="20"/>
              </w:rPr>
              <w:t>Annex 19: Safety management</w:t>
            </w:r>
            <w:r>
              <w:rPr>
                <w:color w:val="000000"/>
                <w:sz w:val="20"/>
                <w:szCs w:val="20"/>
              </w:rPr>
              <w:t>. ICAO.</w:t>
            </w:r>
          </w:p>
          <w:p w14:paraId="58034F3D">
            <w:pPr>
              <w:pStyle w:val="8"/>
              <w:spacing w:before="120" w:beforeAutospacing="0" w:after="0" w:afterAutospacing="0"/>
              <w:ind w:left="166" w:right="346"/>
              <w:jc w:val="both"/>
              <w:rPr>
                <w:color w:val="000000"/>
                <w:sz w:val="20"/>
                <w:szCs w:val="20"/>
              </w:rPr>
            </w:pPr>
            <w:r>
              <w:rPr>
                <w:color w:val="000000"/>
                <w:sz w:val="20"/>
                <w:szCs w:val="20"/>
              </w:rPr>
              <w:t>International Civil Aviation Organization. (2022).</w:t>
            </w:r>
            <w:r>
              <w:rPr>
                <w:rStyle w:val="11"/>
                <w:color w:val="000000"/>
                <w:sz w:val="20"/>
                <w:szCs w:val="20"/>
              </w:rPr>
              <w:t> </w:t>
            </w:r>
            <w:r>
              <w:rPr>
                <w:rStyle w:val="5"/>
                <w:color w:val="000000"/>
                <w:sz w:val="20"/>
                <w:szCs w:val="20"/>
              </w:rPr>
              <w:t>Quality management systems—Requirements for aviation service providers</w:t>
            </w:r>
            <w:r>
              <w:rPr>
                <w:color w:val="000000"/>
                <w:sz w:val="20"/>
                <w:szCs w:val="20"/>
              </w:rPr>
              <w:t>. ICAO.</w:t>
            </w:r>
          </w:p>
          <w:p w14:paraId="1203C156">
            <w:pPr>
              <w:pStyle w:val="8"/>
              <w:spacing w:before="120" w:beforeAutospacing="0" w:after="0" w:afterAutospacing="0"/>
              <w:ind w:left="166" w:right="346"/>
              <w:jc w:val="both"/>
              <w:rPr>
                <w:color w:val="000000"/>
                <w:sz w:val="20"/>
                <w:szCs w:val="20"/>
              </w:rPr>
            </w:pPr>
            <w:r>
              <w:rPr>
                <w:color w:val="000000"/>
                <w:sz w:val="20"/>
                <w:szCs w:val="20"/>
              </w:rPr>
              <w:t>Oakland, J. S. (2014).</w:t>
            </w:r>
            <w:r>
              <w:rPr>
                <w:rStyle w:val="11"/>
                <w:color w:val="000000"/>
                <w:sz w:val="20"/>
                <w:szCs w:val="20"/>
              </w:rPr>
              <w:t> </w:t>
            </w:r>
            <w:r>
              <w:rPr>
                <w:rStyle w:val="5"/>
                <w:color w:val="000000"/>
                <w:sz w:val="20"/>
                <w:szCs w:val="20"/>
              </w:rPr>
              <w:t>Total quality management and operational excellence: Text with cases</w:t>
            </w:r>
            <w:r>
              <w:rPr>
                <w:rStyle w:val="11"/>
                <w:color w:val="000000"/>
                <w:sz w:val="20"/>
                <w:szCs w:val="20"/>
              </w:rPr>
              <w:t> </w:t>
            </w:r>
            <w:r>
              <w:rPr>
                <w:color w:val="000000"/>
                <w:sz w:val="20"/>
                <w:szCs w:val="20"/>
              </w:rPr>
              <w:t>(4th ed.). Routledge.</w:t>
            </w:r>
          </w:p>
          <w:p w14:paraId="351CC27B">
            <w:pPr>
              <w:pStyle w:val="8"/>
              <w:spacing w:before="120" w:beforeAutospacing="0" w:after="0" w:afterAutospacing="0"/>
              <w:ind w:left="166" w:right="346"/>
              <w:jc w:val="both"/>
              <w:rPr>
                <w:color w:val="000000"/>
                <w:sz w:val="20"/>
                <w:szCs w:val="20"/>
              </w:rPr>
            </w:pPr>
            <w:r>
              <w:rPr>
                <w:color w:val="000000"/>
                <w:sz w:val="20"/>
                <w:szCs w:val="20"/>
              </w:rPr>
              <w:t>Evans, J. R., &amp; Lindsay, W. M. (2017).</w:t>
            </w:r>
            <w:r>
              <w:rPr>
                <w:rStyle w:val="11"/>
                <w:color w:val="000000"/>
                <w:sz w:val="20"/>
                <w:szCs w:val="20"/>
              </w:rPr>
              <w:t> </w:t>
            </w:r>
            <w:r>
              <w:rPr>
                <w:rStyle w:val="5"/>
                <w:color w:val="000000"/>
                <w:sz w:val="20"/>
                <w:szCs w:val="20"/>
              </w:rPr>
              <w:t>Managing for quality and performance excellence</w:t>
            </w:r>
            <w:r>
              <w:rPr>
                <w:rStyle w:val="11"/>
                <w:color w:val="000000"/>
                <w:sz w:val="20"/>
                <w:szCs w:val="20"/>
              </w:rPr>
              <w:t> </w:t>
            </w:r>
            <w:r>
              <w:rPr>
                <w:color w:val="000000"/>
                <w:sz w:val="20"/>
                <w:szCs w:val="20"/>
              </w:rPr>
              <w:t>(10th ed.). Cengage Learning.</w:t>
            </w:r>
          </w:p>
          <w:p w14:paraId="2B5DB20A">
            <w:pPr>
              <w:pStyle w:val="8"/>
              <w:spacing w:before="120" w:beforeAutospacing="0" w:after="0" w:afterAutospacing="0"/>
              <w:ind w:left="166" w:right="346"/>
              <w:jc w:val="both"/>
              <w:rPr>
                <w:color w:val="000000"/>
                <w:sz w:val="20"/>
                <w:szCs w:val="20"/>
              </w:rPr>
            </w:pPr>
            <w:r>
              <w:rPr>
                <w:color w:val="000000"/>
                <w:sz w:val="20"/>
                <w:szCs w:val="20"/>
              </w:rPr>
              <w:t>Hoyle, D. (2017).</w:t>
            </w:r>
            <w:r>
              <w:rPr>
                <w:rStyle w:val="11"/>
                <w:color w:val="000000"/>
                <w:sz w:val="20"/>
                <w:szCs w:val="20"/>
              </w:rPr>
              <w:t> </w:t>
            </w:r>
            <w:r>
              <w:rPr>
                <w:rStyle w:val="5"/>
                <w:color w:val="000000"/>
                <w:sz w:val="20"/>
                <w:szCs w:val="20"/>
              </w:rPr>
              <w:t>ISO 9000 quality systems handbook</w:t>
            </w:r>
            <w:r>
              <w:rPr>
                <w:rStyle w:val="11"/>
                <w:color w:val="000000"/>
                <w:sz w:val="20"/>
                <w:szCs w:val="20"/>
              </w:rPr>
              <w:t> </w:t>
            </w:r>
            <w:r>
              <w:rPr>
                <w:color w:val="000000"/>
                <w:sz w:val="20"/>
                <w:szCs w:val="20"/>
              </w:rPr>
              <w:t>(7th ed.). Routledge.</w:t>
            </w:r>
          </w:p>
          <w:p w14:paraId="4483FCCE">
            <w:pPr>
              <w:pStyle w:val="8"/>
              <w:spacing w:before="120" w:beforeAutospacing="0" w:after="0" w:afterAutospacing="0"/>
              <w:ind w:left="166" w:right="346"/>
              <w:jc w:val="both"/>
              <w:rPr>
                <w:color w:val="000000"/>
                <w:sz w:val="20"/>
                <w:szCs w:val="20"/>
              </w:rPr>
            </w:pPr>
            <w:r>
              <w:rPr>
                <w:color w:val="000000"/>
                <w:sz w:val="20"/>
                <w:szCs w:val="20"/>
              </w:rPr>
              <w:t>Juran, J. M., &amp; Godfrey, A. B. (1999).</w:t>
            </w:r>
            <w:r>
              <w:rPr>
                <w:rStyle w:val="11"/>
                <w:color w:val="000000"/>
                <w:sz w:val="20"/>
                <w:szCs w:val="20"/>
              </w:rPr>
              <w:t> </w:t>
            </w:r>
            <w:r>
              <w:rPr>
                <w:rStyle w:val="5"/>
                <w:color w:val="000000"/>
                <w:sz w:val="20"/>
                <w:szCs w:val="20"/>
              </w:rPr>
              <w:t>Juran’s quality handbook</w:t>
            </w:r>
            <w:r>
              <w:rPr>
                <w:rStyle w:val="11"/>
                <w:color w:val="000000"/>
                <w:sz w:val="20"/>
                <w:szCs w:val="20"/>
              </w:rPr>
              <w:t> </w:t>
            </w:r>
            <w:r>
              <w:rPr>
                <w:color w:val="000000"/>
                <w:sz w:val="20"/>
                <w:szCs w:val="20"/>
              </w:rPr>
              <w:t>(5th ed.). McGraw-Hill.</w:t>
            </w:r>
          </w:p>
          <w:p w14:paraId="16863624">
            <w:pPr>
              <w:pStyle w:val="8"/>
              <w:spacing w:before="120" w:beforeAutospacing="0" w:after="0" w:afterAutospacing="0"/>
              <w:ind w:left="166" w:right="346"/>
              <w:jc w:val="both"/>
              <w:rPr>
                <w:color w:val="000000"/>
                <w:sz w:val="20"/>
                <w:szCs w:val="20"/>
              </w:rPr>
            </w:pPr>
            <w:r>
              <w:rPr>
                <w:color w:val="000000"/>
                <w:sz w:val="20"/>
                <w:szCs w:val="20"/>
              </w:rPr>
              <w:t>Krajewski, L. J., Ritzman, L. P., &amp; Malhotra, M. K. (2019).</w:t>
            </w:r>
            <w:r>
              <w:rPr>
                <w:rStyle w:val="11"/>
                <w:color w:val="000000"/>
                <w:sz w:val="20"/>
                <w:szCs w:val="20"/>
              </w:rPr>
              <w:t> </w:t>
            </w:r>
            <w:r>
              <w:rPr>
                <w:rStyle w:val="5"/>
                <w:color w:val="000000"/>
                <w:sz w:val="20"/>
                <w:szCs w:val="20"/>
              </w:rPr>
              <w:t>Operations management: Processes and supply chains</w:t>
            </w:r>
            <w:r>
              <w:rPr>
                <w:rStyle w:val="11"/>
                <w:color w:val="000000"/>
                <w:sz w:val="20"/>
                <w:szCs w:val="20"/>
              </w:rPr>
              <w:t> </w:t>
            </w:r>
            <w:r>
              <w:rPr>
                <w:color w:val="000000"/>
                <w:sz w:val="20"/>
                <w:szCs w:val="20"/>
              </w:rPr>
              <w:t>(12th ed.). Pearson.</w:t>
            </w:r>
          </w:p>
          <w:p w14:paraId="35D7CB9C">
            <w:pPr>
              <w:pStyle w:val="8"/>
              <w:spacing w:before="120" w:beforeAutospacing="0" w:after="0" w:afterAutospacing="0"/>
              <w:ind w:left="166" w:right="346"/>
              <w:jc w:val="both"/>
              <w:rPr>
                <w:color w:val="000000"/>
                <w:sz w:val="20"/>
                <w:szCs w:val="20"/>
              </w:rPr>
            </w:pPr>
            <w:r>
              <w:rPr>
                <w:color w:val="000000"/>
                <w:sz w:val="20"/>
                <w:szCs w:val="20"/>
              </w:rPr>
              <w:t>SHT-121.23. (n.d.).</w:t>
            </w:r>
            <w:r>
              <w:rPr>
                <w:rStyle w:val="11"/>
                <w:color w:val="000000"/>
                <w:sz w:val="20"/>
                <w:szCs w:val="20"/>
              </w:rPr>
              <w:t> </w:t>
            </w:r>
            <w:r>
              <w:rPr>
                <w:rStyle w:val="5"/>
                <w:color w:val="000000"/>
                <w:sz w:val="20"/>
                <w:szCs w:val="20"/>
              </w:rPr>
              <w:t>Sivil Havacılıkta kalite yönetim sistemi gereklilikleri</w:t>
            </w:r>
            <w:r>
              <w:rPr>
                <w:color w:val="000000"/>
                <w:sz w:val="20"/>
                <w:szCs w:val="20"/>
              </w:rPr>
              <w:t>. T.C. Sivil Havacılık Genel Müdürlüğü.</w:t>
            </w:r>
          </w:p>
          <w:p w14:paraId="32AAF2EB">
            <w:pPr>
              <w:pStyle w:val="8"/>
              <w:spacing w:before="120" w:beforeAutospacing="0" w:after="0" w:afterAutospacing="0"/>
              <w:ind w:left="166" w:right="346"/>
              <w:jc w:val="both"/>
              <w:rPr>
                <w:color w:val="000000"/>
                <w:sz w:val="20"/>
                <w:szCs w:val="20"/>
              </w:rPr>
            </w:pPr>
            <w:r>
              <w:rPr>
                <w:color w:val="000000"/>
                <w:sz w:val="20"/>
                <w:szCs w:val="20"/>
              </w:rPr>
              <w:t>SHT-1A. (n.d.).</w:t>
            </w:r>
            <w:r>
              <w:rPr>
                <w:rStyle w:val="11"/>
                <w:color w:val="000000"/>
                <w:sz w:val="20"/>
                <w:szCs w:val="20"/>
              </w:rPr>
              <w:t> </w:t>
            </w:r>
            <w:r>
              <w:rPr>
                <w:rStyle w:val="5"/>
                <w:color w:val="000000"/>
                <w:sz w:val="20"/>
                <w:szCs w:val="20"/>
              </w:rPr>
              <w:t>Hava aracı bakım kuruluşları kalite sistemi talimatı</w:t>
            </w:r>
            <w:r>
              <w:rPr>
                <w:color w:val="000000"/>
                <w:sz w:val="20"/>
                <w:szCs w:val="20"/>
              </w:rPr>
              <w:t>. T.C. Sivil Havacılık Genel Müdürlüğü.</w:t>
            </w:r>
          </w:p>
          <w:p w14:paraId="6335F3A4">
            <w:pPr>
              <w:pStyle w:val="8"/>
              <w:spacing w:before="120" w:beforeAutospacing="0" w:after="0" w:afterAutospacing="0"/>
              <w:ind w:left="166" w:right="346"/>
              <w:jc w:val="both"/>
              <w:rPr>
                <w:color w:val="000000"/>
                <w:sz w:val="20"/>
                <w:szCs w:val="20"/>
              </w:rPr>
            </w:pPr>
            <w:r>
              <w:rPr>
                <w:color w:val="000000"/>
                <w:sz w:val="20"/>
                <w:szCs w:val="20"/>
              </w:rPr>
              <w:t>SHY-6A. (n.d.).</w:t>
            </w:r>
            <w:r>
              <w:rPr>
                <w:rStyle w:val="11"/>
                <w:color w:val="000000"/>
                <w:sz w:val="20"/>
                <w:szCs w:val="20"/>
              </w:rPr>
              <w:t> </w:t>
            </w:r>
            <w:r>
              <w:rPr>
                <w:rStyle w:val="5"/>
                <w:color w:val="000000"/>
                <w:sz w:val="20"/>
                <w:szCs w:val="20"/>
              </w:rPr>
              <w:t>Hava taşımacılığı işletmeleri yönetmelik esasları</w:t>
            </w:r>
            <w:r>
              <w:rPr>
                <w:color w:val="000000"/>
                <w:sz w:val="20"/>
                <w:szCs w:val="20"/>
              </w:rPr>
              <w:t>. T.C. Sivil Havacılık Genel Müdürlüğü.</w:t>
            </w:r>
          </w:p>
          <w:p w14:paraId="11576159">
            <w:pPr>
              <w:pStyle w:val="8"/>
              <w:spacing w:before="120" w:beforeAutospacing="0" w:after="0" w:afterAutospacing="0"/>
              <w:ind w:left="143" w:right="163"/>
              <w:jc w:val="both"/>
              <w:rPr>
                <w:color w:val="000000"/>
                <w:sz w:val="20"/>
                <w:szCs w:val="20"/>
              </w:rPr>
            </w:pPr>
            <w:r>
              <w:rPr>
                <w:color w:val="000000"/>
                <w:sz w:val="20"/>
                <w:szCs w:val="20"/>
              </w:rPr>
              <w:t>Goetsch, D. L., &amp; Davis, S. B. (2014).</w:t>
            </w:r>
            <w:r>
              <w:rPr>
                <w:rStyle w:val="11"/>
                <w:color w:val="000000"/>
                <w:sz w:val="20"/>
                <w:szCs w:val="20"/>
              </w:rPr>
              <w:t> </w:t>
            </w:r>
            <w:r>
              <w:rPr>
                <w:rStyle w:val="5"/>
                <w:color w:val="000000"/>
                <w:sz w:val="20"/>
                <w:szCs w:val="20"/>
              </w:rPr>
              <w:t>Quality management for organizational excellence</w:t>
            </w:r>
            <w:r>
              <w:rPr>
                <w:rStyle w:val="11"/>
                <w:color w:val="000000"/>
                <w:sz w:val="20"/>
                <w:szCs w:val="20"/>
              </w:rPr>
              <w:t> </w:t>
            </w:r>
            <w:r>
              <w:rPr>
                <w:color w:val="000000"/>
                <w:sz w:val="20"/>
                <w:szCs w:val="20"/>
              </w:rPr>
              <w:t>(7th ed.). Pearson.</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10"/>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10"/>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10"/>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10"/>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10"/>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10"/>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116741AC">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10"/>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10"/>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10"/>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15%</w:t>
            </w:r>
          </w:p>
        </w:tc>
        <w:tc>
          <w:tcPr>
            <w:tcW w:w="1275" w:type="dxa"/>
            <w:gridSpan w:val="2"/>
            <w:tcBorders>
              <w:top w:val="single" w:color="000000" w:sz="4" w:space="0"/>
              <w:left w:val="single" w:color="000000" w:sz="4" w:space="0"/>
              <w:bottom w:val="single" w:color="000000" w:sz="4" w:space="0"/>
              <w:right w:val="nil"/>
            </w:tcBorders>
          </w:tcPr>
          <w:p w14:paraId="2D674AED">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10"/>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10"/>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10"/>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20%</w:t>
            </w:r>
          </w:p>
        </w:tc>
        <w:tc>
          <w:tcPr>
            <w:tcW w:w="1275" w:type="dxa"/>
            <w:gridSpan w:val="2"/>
            <w:tcBorders>
              <w:top w:val="single" w:color="000000" w:sz="4" w:space="0"/>
              <w:left w:val="single" w:color="000000" w:sz="4" w:space="0"/>
              <w:bottom w:val="single" w:color="000000" w:sz="4" w:space="0"/>
              <w:right w:val="nil"/>
            </w:tcBorders>
          </w:tcPr>
          <w:p w14:paraId="46C2C2AB">
            <w:pPr>
              <w:pStyle w:val="10"/>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10"/>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10"/>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10"/>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10%</w:t>
            </w:r>
          </w:p>
        </w:tc>
        <w:tc>
          <w:tcPr>
            <w:tcW w:w="1275" w:type="dxa"/>
            <w:gridSpan w:val="2"/>
            <w:tcBorders>
              <w:top w:val="single" w:color="000000" w:sz="4" w:space="0"/>
              <w:left w:val="single" w:color="000000" w:sz="4" w:space="0"/>
              <w:bottom w:val="single" w:color="000000" w:sz="4" w:space="0"/>
              <w:right w:val="nil"/>
            </w:tcBorders>
          </w:tcPr>
          <w:p w14:paraId="7639A28D">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10"/>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10"/>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10"/>
              <w:spacing w:line="233" w:lineRule="exact"/>
              <w:ind w:right="311"/>
              <w:jc w:val="right"/>
              <w:rPr>
                <w:rFonts w:ascii="Times New Roman" w:hAnsi="Times New Roman" w:cs="Times New Roman"/>
                <w:spacing w:val="-5"/>
                <w:sz w:val="20"/>
                <w:szCs w:val="20"/>
              </w:rPr>
            </w:pPr>
            <w:r>
              <w:rPr>
                <w:rFonts w:ascii="Times New Roman" w:hAnsi="Times New Roman" w:cs="Times New Roman"/>
                <w:spacing w:val="-5"/>
                <w:sz w:val="20"/>
                <w:szCs w:val="20"/>
              </w:rPr>
              <w:t>35%</w:t>
            </w:r>
          </w:p>
        </w:tc>
        <w:tc>
          <w:tcPr>
            <w:tcW w:w="1275" w:type="dxa"/>
            <w:gridSpan w:val="2"/>
            <w:tcBorders>
              <w:top w:val="single" w:color="000000" w:sz="4" w:space="0"/>
              <w:left w:val="single" w:color="000000" w:sz="4" w:space="0"/>
              <w:bottom w:val="single" w:color="000000" w:sz="4" w:space="0"/>
              <w:right w:val="nil"/>
            </w:tcBorders>
          </w:tcPr>
          <w:p w14:paraId="458DD2DD">
            <w:pPr>
              <w:pStyle w:val="10"/>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10"/>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10"/>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10"/>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10"/>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10"/>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10"/>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10"/>
              <w:rPr>
                <w:rFonts w:ascii="Times New Roman" w:hAnsi="Times New Roman" w:cs="Times New Roman"/>
                <w:b/>
                <w:sz w:val="20"/>
                <w:szCs w:val="20"/>
              </w:rPr>
            </w:pPr>
          </w:p>
          <w:p w14:paraId="40DF0B2E">
            <w:pPr>
              <w:pStyle w:val="10"/>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10"/>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vAlign w:val="center"/>
          </w:tcPr>
          <w:p w14:paraId="4B6B852E">
            <w:pPr>
              <w:pStyle w:val="10"/>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vAlign w:val="center"/>
          </w:tcPr>
          <w:p w14:paraId="76E115C4">
            <w:pPr>
              <w:pStyle w:val="10"/>
              <w:spacing w:before="71"/>
              <w:ind w:left="314" w:right="193" w:hanging="106"/>
              <w:jc w:val="center"/>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vAlign w:val="center"/>
          </w:tcPr>
          <w:p w14:paraId="340CFB29">
            <w:pPr>
              <w:pStyle w:val="10"/>
              <w:spacing w:before="71"/>
              <w:ind w:left="200" w:hanging="59"/>
              <w:jc w:val="center"/>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10"/>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10"/>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10"/>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10"/>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10"/>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10"/>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10"/>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10"/>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10"/>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10"/>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10"/>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10"/>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10"/>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10"/>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10"/>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3A1663"/>
    <w:multiLevelType w:val="multilevel"/>
    <w:tmpl w:val="7F3A1663"/>
    <w:lvl w:ilvl="0" w:tentative="0">
      <w:start w:val="0"/>
      <w:numFmt w:val="bullet"/>
      <w:lvlText w:val=""/>
      <w:lvlJc w:val="left"/>
      <w:pPr>
        <w:ind w:left="473" w:hanging="361"/>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362" w:hanging="361"/>
      </w:pPr>
      <w:rPr>
        <w:rFonts w:hint="default"/>
        <w:lang w:val="en-US" w:eastAsia="en-US" w:bidi="ar-SA"/>
      </w:rPr>
    </w:lvl>
    <w:lvl w:ilvl="2" w:tentative="0">
      <w:start w:val="0"/>
      <w:numFmt w:val="bullet"/>
      <w:lvlText w:val="•"/>
      <w:lvlJc w:val="left"/>
      <w:pPr>
        <w:ind w:left="2245" w:hanging="361"/>
      </w:pPr>
      <w:rPr>
        <w:rFonts w:hint="default"/>
        <w:lang w:val="en-US" w:eastAsia="en-US" w:bidi="ar-SA"/>
      </w:rPr>
    </w:lvl>
    <w:lvl w:ilvl="3" w:tentative="0">
      <w:start w:val="0"/>
      <w:numFmt w:val="bullet"/>
      <w:lvlText w:val="•"/>
      <w:lvlJc w:val="left"/>
      <w:pPr>
        <w:ind w:left="3128" w:hanging="361"/>
      </w:pPr>
      <w:rPr>
        <w:rFonts w:hint="default"/>
        <w:lang w:val="en-US" w:eastAsia="en-US" w:bidi="ar-SA"/>
      </w:rPr>
    </w:lvl>
    <w:lvl w:ilvl="4" w:tentative="0">
      <w:start w:val="0"/>
      <w:numFmt w:val="bullet"/>
      <w:lvlText w:val="•"/>
      <w:lvlJc w:val="left"/>
      <w:pPr>
        <w:ind w:left="4010" w:hanging="361"/>
      </w:pPr>
      <w:rPr>
        <w:rFonts w:hint="default"/>
        <w:lang w:val="en-US" w:eastAsia="en-US" w:bidi="ar-SA"/>
      </w:rPr>
    </w:lvl>
    <w:lvl w:ilvl="5" w:tentative="0">
      <w:start w:val="0"/>
      <w:numFmt w:val="bullet"/>
      <w:lvlText w:val="•"/>
      <w:lvlJc w:val="left"/>
      <w:pPr>
        <w:ind w:left="4893" w:hanging="361"/>
      </w:pPr>
      <w:rPr>
        <w:rFonts w:hint="default"/>
        <w:lang w:val="en-US" w:eastAsia="en-US" w:bidi="ar-SA"/>
      </w:rPr>
    </w:lvl>
    <w:lvl w:ilvl="6" w:tentative="0">
      <w:start w:val="0"/>
      <w:numFmt w:val="bullet"/>
      <w:lvlText w:val="•"/>
      <w:lvlJc w:val="left"/>
      <w:pPr>
        <w:ind w:left="5776" w:hanging="361"/>
      </w:pPr>
      <w:rPr>
        <w:rFonts w:hint="default"/>
        <w:lang w:val="en-US" w:eastAsia="en-US" w:bidi="ar-SA"/>
      </w:rPr>
    </w:lvl>
    <w:lvl w:ilvl="7" w:tentative="0">
      <w:start w:val="0"/>
      <w:numFmt w:val="bullet"/>
      <w:lvlText w:val="•"/>
      <w:lvlJc w:val="left"/>
      <w:pPr>
        <w:ind w:left="6658" w:hanging="361"/>
      </w:pPr>
      <w:rPr>
        <w:rFonts w:hint="default"/>
        <w:lang w:val="en-US" w:eastAsia="en-US" w:bidi="ar-SA"/>
      </w:rPr>
    </w:lvl>
    <w:lvl w:ilvl="8" w:tentative="0">
      <w:start w:val="0"/>
      <w:numFmt w:val="bullet"/>
      <w:lvlText w:val="•"/>
      <w:lvlJc w:val="left"/>
      <w:pPr>
        <w:ind w:left="7541"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0208C7"/>
    <w:rsid w:val="0015499C"/>
    <w:rsid w:val="00243484"/>
    <w:rsid w:val="00261A67"/>
    <w:rsid w:val="003223E5"/>
    <w:rsid w:val="003A36C5"/>
    <w:rsid w:val="003C1C48"/>
    <w:rsid w:val="0045510C"/>
    <w:rsid w:val="00493F1A"/>
    <w:rsid w:val="004A25A6"/>
    <w:rsid w:val="004A4D07"/>
    <w:rsid w:val="004C0040"/>
    <w:rsid w:val="0055228F"/>
    <w:rsid w:val="00563DCD"/>
    <w:rsid w:val="0064498D"/>
    <w:rsid w:val="006501C8"/>
    <w:rsid w:val="00650B07"/>
    <w:rsid w:val="00653717"/>
    <w:rsid w:val="00770839"/>
    <w:rsid w:val="007D3A93"/>
    <w:rsid w:val="00826A04"/>
    <w:rsid w:val="00866189"/>
    <w:rsid w:val="009A1FE9"/>
    <w:rsid w:val="009B6CC5"/>
    <w:rsid w:val="009D5A2D"/>
    <w:rsid w:val="00A07035"/>
    <w:rsid w:val="00A541AC"/>
    <w:rsid w:val="00B03E09"/>
    <w:rsid w:val="00B40A70"/>
    <w:rsid w:val="00B81281"/>
    <w:rsid w:val="00B93937"/>
    <w:rsid w:val="00C161FB"/>
    <w:rsid w:val="00C33E8A"/>
    <w:rsid w:val="00C528D5"/>
    <w:rsid w:val="00C90D48"/>
    <w:rsid w:val="00E913EE"/>
    <w:rsid w:val="00E92121"/>
    <w:rsid w:val="00F85B5B"/>
    <w:rsid w:val="00FC5B4E"/>
    <w:rsid w:val="5CA241B8"/>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2"/>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table" w:styleId="9">
    <w:name w:val="Table Grid"/>
    <w:basedOn w:val="3"/>
    <w:uiPriority w:val="39"/>
    <w:pPr>
      <w:spacing w:after="0" w:line="240" w:lineRule="auto"/>
    </w:pPr>
    <w:rPr>
      <w:kern w:val="2"/>
      <w:lang w:val="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1">
    <w:name w:val="apple-converted-space"/>
    <w:basedOn w:val="2"/>
    <w:qFormat/>
    <w:uiPriority w:val="0"/>
  </w:style>
  <w:style w:type="character" w:customStyle="1" w:styleId="12">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3">
    <w:name w:val="y2iqfc"/>
    <w:basedOn w:val="2"/>
    <w:qFormat/>
    <w:uiPriority w:val="0"/>
  </w:style>
  <w:style w:type="table" w:customStyle="1" w:styleId="14">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5">
    <w:name w:val="Body Text Char"/>
    <w:basedOn w:val="2"/>
    <w:link w:val="4"/>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941</Words>
  <Characters>5366</Characters>
  <Lines>44</Lines>
  <Paragraphs>12</Paragraphs>
  <TotalTime>79</TotalTime>
  <ScaleCrop>false</ScaleCrop>
  <LinksUpToDate>false</LinksUpToDate>
  <CharactersWithSpaces>6295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2026-05-15T13:08:41Z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8952329256D543B9AFFCBCD85F3DD741_12</vt:lpwstr>
  </property>
</Properties>
</file>