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Aviation</w:t>
            </w:r>
            <w:r>
              <w:rPr>
                <w:rFonts w:ascii="Times New Roman" w:hAnsi="Times New Roman" w:cs="Times New Roman"/>
                <w:b/>
                <w:bCs/>
                <w:spacing w:val="-8"/>
                <w:sz w:val="20"/>
                <w:szCs w:val="20"/>
                <w:lang w:val="en-US"/>
              </w:rPr>
              <w:t xml:space="preserve"> </w:t>
            </w:r>
            <w:r>
              <w:rPr>
                <w:rFonts w:ascii="Times New Roman" w:hAnsi="Times New Roman" w:cs="Times New Roman"/>
                <w:b/>
                <w:bCs/>
                <w:sz w:val="20"/>
                <w:szCs w:val="20"/>
                <w:lang w:val="en-US"/>
              </w:rPr>
              <w:t>Resource</w:t>
            </w:r>
            <w:r>
              <w:rPr>
                <w:rFonts w:ascii="Times New Roman" w:hAnsi="Times New Roman" w:cs="Times New Roman"/>
                <w:b/>
                <w:bCs/>
                <w:spacing w:val="-11"/>
                <w:sz w:val="20"/>
                <w:szCs w:val="20"/>
                <w:lang w:val="en-US"/>
              </w:rPr>
              <w:t xml:space="preserve"> </w:t>
            </w:r>
            <w:r>
              <w:rPr>
                <w:rFonts w:ascii="Times New Roman" w:hAnsi="Times New Roman" w:cs="Times New Roman"/>
                <w:b/>
                <w:bCs/>
                <w:spacing w:val="-2"/>
                <w:sz w:val="20"/>
                <w:szCs w:val="20"/>
                <w:lang w:val="en-US"/>
              </w:rPr>
              <w:t>Management</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AVM403</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7</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29C94330">
            <w:pPr>
              <w:pStyle w:val="9"/>
              <w:numPr>
                <w:ilvl w:val="0"/>
                <w:numId w:val="1"/>
              </w:numPr>
              <w:tabs>
                <w:tab w:val="left" w:pos="472"/>
                <w:tab w:val="left" w:pos="474"/>
              </w:tabs>
              <w:spacing w:before="4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basic</w:t>
            </w:r>
            <w:r>
              <w:rPr>
                <w:rFonts w:ascii="Times New Roman" w:hAnsi="Times New Roman" w:cs="Times New Roman"/>
                <w:spacing w:val="-5"/>
                <w:sz w:val="20"/>
                <w:szCs w:val="20"/>
              </w:rPr>
              <w:t xml:space="preserve"> </w:t>
            </w:r>
            <w:r>
              <w:rPr>
                <w:rFonts w:ascii="Times New Roman" w:hAnsi="Times New Roman" w:cs="Times New Roman"/>
                <w:sz w:val="20"/>
                <w:szCs w:val="20"/>
              </w:rPr>
              <w:t>principles</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HRM.</w:t>
            </w:r>
          </w:p>
          <w:p w14:paraId="7B3EEFB8">
            <w:pPr>
              <w:pStyle w:val="9"/>
              <w:numPr>
                <w:ilvl w:val="0"/>
                <w:numId w:val="1"/>
              </w:numPr>
              <w:tabs>
                <w:tab w:val="left" w:pos="468"/>
                <w:tab w:val="left" w:pos="469"/>
              </w:tabs>
              <w:spacing w:before="92" w:line="22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components</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3"/>
                <w:sz w:val="20"/>
                <w:szCs w:val="20"/>
              </w:rPr>
              <w:t xml:space="preserve"> </w:t>
            </w:r>
            <w:r>
              <w:rPr>
                <w:rFonts w:ascii="Times New Roman" w:hAnsi="Times New Roman" w:cs="Times New Roman"/>
                <w:sz w:val="20"/>
                <w:szCs w:val="20"/>
              </w:rPr>
              <w:t>HRM</w:t>
            </w:r>
            <w:r>
              <w:rPr>
                <w:rFonts w:ascii="Times New Roman" w:hAnsi="Times New Roman" w:cs="Times New Roman"/>
                <w:spacing w:val="-6"/>
                <w:sz w:val="20"/>
                <w:szCs w:val="20"/>
              </w:rPr>
              <w:t xml:space="preserve"> </w:t>
            </w:r>
            <w:r>
              <w:rPr>
                <w:rFonts w:ascii="Times New Roman" w:hAnsi="Times New Roman" w:cs="Times New Roman"/>
                <w:sz w:val="20"/>
                <w:szCs w:val="20"/>
              </w:rPr>
              <w:t>Processes</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Practices.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students with a comprehensive understanding of the role and responsibilities of human resource management within aviation organizations. It explores how HR functions contribute to the effective recruitment, development, motivation, and retention of personnel in a highly regulated and service-oriented industry. Students will examine key HR processes such as workforce planning, recruitment and selection, training and development, performance management, employee relations, and organizational behavior. The course also highlights the specific skills required of human resources professionals in aviation, including communication, leadership, conflict resolution, and compliance with labor and aviation regulations. In addition, the course emphasizes the importance of human capital in achieving organizational efficiency, safety, and service quality. Through theoretical learning and practical case studies, students will gain the knowledge and skills needed to understand and support effective human resource practices in aviation organizations.</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human resource management in aviation organizations.</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workforce planning, recruitment, and selection processes in aviation.</w:t>
            </w:r>
          </w:p>
        </w:tc>
        <w:tc>
          <w:tcPr>
            <w:tcW w:w="1460" w:type="dxa"/>
            <w:gridSpan w:val="3"/>
          </w:tcPr>
          <w:p w14:paraId="74FCC62F">
            <w:pPr>
              <w:widowControl w:val="0"/>
              <w:autoSpaceDE w:val="0"/>
              <w:autoSpaceDN w:val="0"/>
              <w:spacing w:before="2" w:after="0" w:line="240" w:lineRule="auto"/>
              <w:ind w:left="409"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training and development systems for aviation personnel.</w:t>
            </w:r>
          </w:p>
        </w:tc>
        <w:tc>
          <w:tcPr>
            <w:tcW w:w="1460" w:type="dxa"/>
            <w:gridSpan w:val="3"/>
          </w:tcPr>
          <w:p w14:paraId="5C07990A">
            <w:pPr>
              <w:widowControl w:val="0"/>
              <w:autoSpaceDE w:val="0"/>
              <w:autoSpaceDN w:val="0"/>
              <w:spacing w:before="2" w:after="0" w:line="240" w:lineRule="auto"/>
              <w:ind w:left="410"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performance management and employee relations practices.</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organizational behavior and its impact on aviation operations.</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communication and leadership skills in human resource contexts.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compliance with labor laws and aviation regulations.</w:t>
            </w:r>
          </w:p>
        </w:tc>
        <w:tc>
          <w:tcPr>
            <w:tcW w:w="1460" w:type="dxa"/>
            <w:gridSpan w:val="3"/>
          </w:tcPr>
          <w:p w14:paraId="15CB5091">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role of human capital in improving organizational efficiency and service quality.</w:t>
            </w:r>
          </w:p>
        </w:tc>
        <w:tc>
          <w:tcPr>
            <w:tcW w:w="1460" w:type="dxa"/>
            <w:gridSpan w:val="3"/>
          </w:tcPr>
          <w:p w14:paraId="135B3C3F">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effective HR practices supporting aviation safety and performance.</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C2A4099">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marketing and customer relationship management in aviation businesses.</w:t>
            </w:r>
          </w:p>
        </w:tc>
        <w:tc>
          <w:tcPr>
            <w:tcW w:w="919" w:type="dxa"/>
            <w:gridSpan w:val="2"/>
          </w:tcPr>
          <w:p w14:paraId="01622288">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Communicate effectively in both Turkish and English in professional contexts.</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745E3F6D">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6"/>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pacing w:val="-4"/>
                <w:sz w:val="20"/>
                <w:szCs w:val="20"/>
                <w:lang w:val="en-US"/>
              </w:rPr>
              <w:t>HRM.</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Describe the functions of the HRM/CRM</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Leadership, managing people, crowd control, teamwork</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Error chain, anger coping, body language, stress management</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Fatigue, workload management, situation assessment, risk management, issues and decision-making</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Analyzing Aircraft Disasters of CRM/HRM</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 xml:space="preserve">Revision </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 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CRM/HRM Processes and Practices</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Dirty Dozen Items / Swiss Cheese Model / Shell Model</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Human Factors, AI-Supported Decision Making in the Cockpit Integrated alert systems, flight path logic</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Analyzing Example Aircraft Disasters of CRM and Human Factors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Analyzing Example Aircraft Disasters of CRM and Human Factors</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Exercise and Tutorial 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1F528D6C">
            <w:pPr>
              <w:pStyle w:val="9"/>
              <w:spacing w:before="23"/>
              <w:ind w:left="266" w:right="386"/>
              <w:jc w:val="both"/>
              <w:rPr>
                <w:rFonts w:ascii="Times New Roman" w:hAnsi="Times New Roman" w:cs="Times New Roman"/>
                <w:b/>
                <w:spacing w:val="-2"/>
                <w:sz w:val="20"/>
                <w:szCs w:val="20"/>
              </w:rPr>
            </w:pPr>
            <w:r>
              <w:rPr>
                <w:rFonts w:ascii="Times New Roman" w:hAnsi="Times New Roman" w:cs="Times New Roman"/>
                <w:b/>
                <w:spacing w:val="-2"/>
                <w:sz w:val="20"/>
                <w:szCs w:val="20"/>
              </w:rPr>
              <w:t>Textbook:</w:t>
            </w:r>
          </w:p>
          <w:p w14:paraId="7C7D76E1">
            <w:pPr>
              <w:pStyle w:val="8"/>
              <w:spacing w:before="120" w:beforeAutospacing="0" w:after="0" w:afterAutospacing="0"/>
              <w:ind w:left="266" w:right="386"/>
              <w:jc w:val="both"/>
              <w:rPr>
                <w:color w:val="000000"/>
                <w:sz w:val="20"/>
                <w:szCs w:val="20"/>
              </w:rPr>
            </w:pPr>
            <w:r>
              <w:rPr>
                <w:color w:val="000000"/>
                <w:sz w:val="20"/>
                <w:szCs w:val="20"/>
              </w:rPr>
              <w:t>Helmreich, R. L., &amp; Foushee, H. C. (2010). Why crew resource management? Empirical and theoretical bases of human factors training in aviation. In E. Wiener, B. Kanki, &amp; R. Helmreich (Eds.),</w:t>
            </w:r>
            <w:r>
              <w:rPr>
                <w:rStyle w:val="10"/>
                <w:color w:val="000000"/>
                <w:sz w:val="20"/>
                <w:szCs w:val="20"/>
              </w:rPr>
              <w:t> </w:t>
            </w:r>
            <w:r>
              <w:rPr>
                <w:rStyle w:val="5"/>
                <w:color w:val="000000"/>
                <w:sz w:val="20"/>
                <w:szCs w:val="20"/>
              </w:rPr>
              <w:t>Crew resource management</w:t>
            </w:r>
            <w:r>
              <w:rPr>
                <w:rStyle w:val="10"/>
                <w:color w:val="000000"/>
                <w:sz w:val="20"/>
                <w:szCs w:val="20"/>
              </w:rPr>
              <w:t> </w:t>
            </w:r>
            <w:r>
              <w:rPr>
                <w:color w:val="000000"/>
                <w:sz w:val="20"/>
                <w:szCs w:val="20"/>
              </w:rPr>
              <w:t>(pp. 3–45). Academic Press.</w:t>
            </w:r>
          </w:p>
          <w:p w14:paraId="21B8843A">
            <w:pPr>
              <w:pStyle w:val="8"/>
              <w:spacing w:before="120" w:beforeAutospacing="0" w:after="0" w:afterAutospacing="0"/>
              <w:ind w:left="266" w:right="386"/>
              <w:jc w:val="both"/>
              <w:rPr>
                <w:color w:val="000000"/>
                <w:sz w:val="20"/>
                <w:szCs w:val="20"/>
              </w:rPr>
            </w:pPr>
          </w:p>
          <w:p w14:paraId="74468D52">
            <w:pPr>
              <w:pStyle w:val="9"/>
              <w:spacing w:before="1" w:line="225" w:lineRule="exact"/>
              <w:ind w:left="266" w:right="386"/>
              <w:jc w:val="both"/>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1"/>
                <w:sz w:val="20"/>
                <w:szCs w:val="20"/>
              </w:rPr>
              <w:t xml:space="preserve"> </w:t>
            </w:r>
            <w:r>
              <w:rPr>
                <w:rFonts w:ascii="Times New Roman" w:hAnsi="Times New Roman" w:cs="Times New Roman"/>
                <w:b/>
                <w:spacing w:val="-2"/>
                <w:sz w:val="20"/>
                <w:szCs w:val="20"/>
              </w:rPr>
              <w:t>Material(s):</w:t>
            </w:r>
          </w:p>
          <w:p w14:paraId="51A87F18">
            <w:pPr>
              <w:pStyle w:val="8"/>
              <w:spacing w:before="120" w:beforeAutospacing="0" w:after="0" w:afterAutospacing="0"/>
              <w:ind w:left="266" w:right="386"/>
              <w:jc w:val="both"/>
              <w:rPr>
                <w:color w:val="000000"/>
                <w:sz w:val="20"/>
                <w:szCs w:val="20"/>
              </w:rPr>
            </w:pPr>
            <w:r>
              <w:rPr>
                <w:color w:val="000000"/>
                <w:sz w:val="20"/>
                <w:szCs w:val="20"/>
              </w:rPr>
              <w:t>Helmreich, R. L., Merritt, A. C., &amp; Wilhelm, J. A. (1999). The evolution of crew resource management training in commercial aviation.</w:t>
            </w:r>
            <w:r>
              <w:rPr>
                <w:rStyle w:val="10"/>
                <w:color w:val="000000"/>
                <w:sz w:val="20"/>
                <w:szCs w:val="20"/>
              </w:rPr>
              <w:t> </w:t>
            </w:r>
            <w:r>
              <w:rPr>
                <w:rStyle w:val="5"/>
                <w:color w:val="000000"/>
                <w:sz w:val="20"/>
                <w:szCs w:val="20"/>
              </w:rPr>
              <w:t>International Journal of Aviation Psychology, 9</w:t>
            </w:r>
            <w:r>
              <w:rPr>
                <w:color w:val="000000"/>
                <w:sz w:val="20"/>
                <w:szCs w:val="20"/>
              </w:rPr>
              <w:t>(1), 19–32.</w:t>
            </w:r>
            <w:r>
              <w:rPr>
                <w:rStyle w:val="10"/>
                <w:color w:val="000000"/>
                <w:sz w:val="20"/>
                <w:szCs w:val="20"/>
              </w:rPr>
              <w:t> </w:t>
            </w:r>
            <w:r>
              <w:rPr>
                <w:color w:val="000000"/>
                <w:sz w:val="20"/>
                <w:szCs w:val="20"/>
              </w:rPr>
              <w:t>https://doi.org/10.1207/s15327108ijap0901_2</w:t>
            </w:r>
          </w:p>
          <w:p w14:paraId="4820A2BF">
            <w:pPr>
              <w:pStyle w:val="8"/>
              <w:spacing w:before="120" w:beforeAutospacing="0" w:after="0" w:afterAutospacing="0"/>
              <w:ind w:left="266" w:right="386"/>
              <w:jc w:val="both"/>
              <w:rPr>
                <w:color w:val="000000"/>
                <w:sz w:val="20"/>
                <w:szCs w:val="20"/>
              </w:rPr>
            </w:pPr>
            <w:r>
              <w:rPr>
                <w:color w:val="000000"/>
                <w:sz w:val="20"/>
                <w:szCs w:val="20"/>
              </w:rPr>
              <w:t>International Civil Aviation Organization. (2018).</w:t>
            </w:r>
            <w:r>
              <w:rPr>
                <w:rStyle w:val="10"/>
                <w:color w:val="000000"/>
                <w:sz w:val="20"/>
                <w:szCs w:val="20"/>
              </w:rPr>
              <w:t> </w:t>
            </w:r>
            <w:r>
              <w:rPr>
                <w:rStyle w:val="5"/>
                <w:color w:val="000000"/>
                <w:sz w:val="20"/>
                <w:szCs w:val="20"/>
              </w:rPr>
              <w:t>Human factors training manual</w:t>
            </w:r>
            <w:r>
              <w:rPr>
                <w:rStyle w:val="10"/>
                <w:color w:val="000000"/>
                <w:sz w:val="20"/>
                <w:szCs w:val="20"/>
              </w:rPr>
              <w:t> </w:t>
            </w:r>
            <w:r>
              <w:rPr>
                <w:color w:val="000000"/>
                <w:sz w:val="20"/>
                <w:szCs w:val="20"/>
              </w:rPr>
              <w:t>(Doc 9683). ICAO.</w:t>
            </w:r>
          </w:p>
          <w:p w14:paraId="271049DD">
            <w:pPr>
              <w:pStyle w:val="8"/>
              <w:spacing w:before="120" w:beforeAutospacing="0" w:after="0" w:afterAutospacing="0"/>
              <w:ind w:left="266" w:right="386"/>
              <w:jc w:val="both"/>
              <w:rPr>
                <w:color w:val="000000"/>
                <w:sz w:val="20"/>
                <w:szCs w:val="20"/>
              </w:rPr>
            </w:pPr>
            <w:r>
              <w:rPr>
                <w:color w:val="000000"/>
                <w:sz w:val="20"/>
                <w:szCs w:val="20"/>
              </w:rPr>
              <w:t>International Civil Aviation Organization. (2016).</w:t>
            </w:r>
            <w:r>
              <w:rPr>
                <w:rStyle w:val="10"/>
                <w:color w:val="000000"/>
                <w:sz w:val="20"/>
                <w:szCs w:val="20"/>
              </w:rPr>
              <w:t> </w:t>
            </w:r>
            <w:r>
              <w:rPr>
                <w:rStyle w:val="5"/>
                <w:color w:val="000000"/>
                <w:sz w:val="20"/>
                <w:szCs w:val="20"/>
              </w:rPr>
              <w:t>Fatigue management guide for air operators</w:t>
            </w:r>
            <w:r>
              <w:rPr>
                <w:color w:val="000000"/>
                <w:sz w:val="20"/>
                <w:szCs w:val="20"/>
              </w:rPr>
              <w:t>. ICAO.</w:t>
            </w:r>
          </w:p>
          <w:p w14:paraId="36EE59E9">
            <w:pPr>
              <w:pStyle w:val="8"/>
              <w:spacing w:before="120" w:beforeAutospacing="0" w:after="0" w:afterAutospacing="0"/>
              <w:ind w:left="266" w:right="386"/>
              <w:jc w:val="both"/>
              <w:rPr>
                <w:color w:val="000000"/>
                <w:sz w:val="20"/>
                <w:szCs w:val="20"/>
              </w:rPr>
            </w:pPr>
            <w:r>
              <w:rPr>
                <w:color w:val="000000"/>
                <w:sz w:val="20"/>
                <w:szCs w:val="20"/>
              </w:rPr>
              <w:t>Reason, J. (1997).</w:t>
            </w:r>
            <w:r>
              <w:rPr>
                <w:rStyle w:val="10"/>
                <w:color w:val="000000"/>
                <w:sz w:val="20"/>
                <w:szCs w:val="20"/>
              </w:rPr>
              <w:t> </w:t>
            </w:r>
            <w:r>
              <w:rPr>
                <w:rStyle w:val="5"/>
                <w:color w:val="000000"/>
                <w:sz w:val="20"/>
                <w:szCs w:val="20"/>
              </w:rPr>
              <w:t>Managing the risks of organizational accidents</w:t>
            </w:r>
            <w:r>
              <w:rPr>
                <w:color w:val="000000"/>
                <w:sz w:val="20"/>
                <w:szCs w:val="20"/>
              </w:rPr>
              <w:t>. Ashgate Publishing.</w:t>
            </w:r>
          </w:p>
          <w:p w14:paraId="70FC0314">
            <w:pPr>
              <w:pStyle w:val="8"/>
              <w:spacing w:before="120" w:beforeAutospacing="0" w:after="0" w:afterAutospacing="0"/>
              <w:ind w:left="266" w:right="386"/>
              <w:jc w:val="both"/>
              <w:rPr>
                <w:color w:val="000000"/>
                <w:sz w:val="20"/>
                <w:szCs w:val="20"/>
              </w:rPr>
            </w:pPr>
            <w:r>
              <w:rPr>
                <w:color w:val="000000"/>
                <w:sz w:val="20"/>
                <w:szCs w:val="20"/>
              </w:rPr>
              <w:t>Reason, J. (2000). Human error: Models and management.</w:t>
            </w:r>
            <w:r>
              <w:rPr>
                <w:rStyle w:val="10"/>
                <w:color w:val="000000"/>
                <w:sz w:val="20"/>
                <w:szCs w:val="20"/>
              </w:rPr>
              <w:t> </w:t>
            </w:r>
            <w:r>
              <w:rPr>
                <w:rStyle w:val="5"/>
                <w:color w:val="000000"/>
                <w:sz w:val="20"/>
                <w:szCs w:val="20"/>
              </w:rPr>
              <w:t>BMJ, 320</w:t>
            </w:r>
            <w:r>
              <w:rPr>
                <w:color w:val="000000"/>
                <w:sz w:val="20"/>
                <w:szCs w:val="20"/>
              </w:rPr>
              <w:t>(7237), 768–770.</w:t>
            </w:r>
            <w:r>
              <w:rPr>
                <w:rStyle w:val="10"/>
                <w:color w:val="000000"/>
                <w:sz w:val="20"/>
                <w:szCs w:val="20"/>
              </w:rPr>
              <w:t> </w:t>
            </w:r>
            <w:r>
              <w:fldChar w:fldCharType="begin"/>
            </w:r>
            <w:r>
              <w:instrText xml:space="preserve"> HYPERLINK "https://doi.org/10.1136/bmj.320.7237.768" \t "_new" </w:instrText>
            </w:r>
            <w:r>
              <w:fldChar w:fldCharType="separate"/>
            </w:r>
            <w:r>
              <w:rPr>
                <w:rStyle w:val="7"/>
                <w:sz w:val="20"/>
                <w:szCs w:val="20"/>
              </w:rPr>
              <w:t>https://doi.org/10.1136/bmj.320.7237.768</w:t>
            </w:r>
            <w:r>
              <w:rPr>
                <w:rStyle w:val="7"/>
                <w:sz w:val="20"/>
                <w:szCs w:val="20"/>
              </w:rPr>
              <w:fldChar w:fldCharType="end"/>
            </w:r>
          </w:p>
          <w:p w14:paraId="4DDB6E00">
            <w:pPr>
              <w:pStyle w:val="8"/>
              <w:spacing w:before="120" w:beforeAutospacing="0" w:after="0" w:afterAutospacing="0"/>
              <w:ind w:left="266" w:right="386"/>
              <w:jc w:val="both"/>
              <w:rPr>
                <w:color w:val="000000"/>
                <w:sz w:val="20"/>
                <w:szCs w:val="20"/>
              </w:rPr>
            </w:pPr>
            <w:r>
              <w:rPr>
                <w:color w:val="000000"/>
                <w:sz w:val="20"/>
                <w:szCs w:val="20"/>
              </w:rPr>
              <w:t>Hawkins, F. H., &amp; Orlady, H. W. (2017).</w:t>
            </w:r>
            <w:r>
              <w:rPr>
                <w:rStyle w:val="10"/>
                <w:color w:val="000000"/>
                <w:sz w:val="20"/>
                <w:szCs w:val="20"/>
              </w:rPr>
              <w:t> </w:t>
            </w:r>
            <w:r>
              <w:rPr>
                <w:rStyle w:val="5"/>
                <w:color w:val="000000"/>
                <w:sz w:val="20"/>
                <w:szCs w:val="20"/>
              </w:rPr>
              <w:t>Human factors in flight</w:t>
            </w:r>
            <w:r>
              <w:rPr>
                <w:rStyle w:val="10"/>
                <w:color w:val="000000"/>
                <w:sz w:val="20"/>
                <w:szCs w:val="20"/>
              </w:rPr>
              <w:t> </w:t>
            </w:r>
            <w:r>
              <w:rPr>
                <w:color w:val="000000"/>
                <w:sz w:val="20"/>
                <w:szCs w:val="20"/>
              </w:rPr>
              <w:t>(2nd ed.). Routledge.</w:t>
            </w:r>
          </w:p>
          <w:p w14:paraId="7617CE43">
            <w:pPr>
              <w:pStyle w:val="8"/>
              <w:spacing w:before="120" w:beforeAutospacing="0" w:after="0" w:afterAutospacing="0"/>
              <w:ind w:left="266" w:right="386"/>
              <w:jc w:val="both"/>
              <w:rPr>
                <w:color w:val="000000"/>
                <w:sz w:val="20"/>
                <w:szCs w:val="20"/>
              </w:rPr>
            </w:pPr>
            <w:r>
              <w:rPr>
                <w:color w:val="000000"/>
                <w:sz w:val="20"/>
                <w:szCs w:val="20"/>
              </w:rPr>
              <w:t>Flin, R., O’Connor, P., &amp; Crichton, M. (2008).</w:t>
            </w:r>
            <w:r>
              <w:rPr>
                <w:rStyle w:val="10"/>
                <w:color w:val="000000"/>
                <w:sz w:val="20"/>
                <w:szCs w:val="20"/>
              </w:rPr>
              <w:t> </w:t>
            </w:r>
            <w:r>
              <w:rPr>
                <w:rStyle w:val="5"/>
                <w:color w:val="000000"/>
                <w:sz w:val="20"/>
                <w:szCs w:val="20"/>
              </w:rPr>
              <w:t>Safety at the sharp end: A guide to non-technical skills</w:t>
            </w:r>
            <w:r>
              <w:rPr>
                <w:color w:val="000000"/>
                <w:sz w:val="20"/>
                <w:szCs w:val="20"/>
              </w:rPr>
              <w:t>. Ashgate Publishing.</w:t>
            </w:r>
          </w:p>
          <w:p w14:paraId="0A50DF7F">
            <w:pPr>
              <w:pStyle w:val="8"/>
              <w:spacing w:before="120" w:beforeAutospacing="0" w:after="0" w:afterAutospacing="0"/>
              <w:ind w:left="266" w:right="386"/>
              <w:jc w:val="both"/>
              <w:rPr>
                <w:color w:val="000000"/>
                <w:sz w:val="20"/>
                <w:szCs w:val="20"/>
              </w:rPr>
            </w:pPr>
            <w:r>
              <w:rPr>
                <w:color w:val="000000"/>
                <w:sz w:val="20"/>
                <w:szCs w:val="20"/>
              </w:rPr>
              <w:t>Maurino, D., Reason, J., Johnston, N., &amp; Lee, R. (2017).</w:t>
            </w:r>
            <w:r>
              <w:rPr>
                <w:rStyle w:val="10"/>
                <w:color w:val="000000"/>
                <w:sz w:val="20"/>
                <w:szCs w:val="20"/>
              </w:rPr>
              <w:t> </w:t>
            </w:r>
            <w:r>
              <w:rPr>
                <w:rStyle w:val="5"/>
                <w:color w:val="000000"/>
                <w:sz w:val="20"/>
                <w:szCs w:val="20"/>
              </w:rPr>
              <w:t>Beyond aviation human factors: Safety in high technology systems</w:t>
            </w:r>
            <w:r>
              <w:rPr>
                <w:color w:val="000000"/>
                <w:sz w:val="20"/>
                <w:szCs w:val="20"/>
              </w:rPr>
              <w:t>. Routledge.</w:t>
            </w:r>
          </w:p>
          <w:p w14:paraId="5B9AC80D">
            <w:pPr>
              <w:pStyle w:val="8"/>
              <w:spacing w:before="120" w:beforeAutospacing="0" w:after="0" w:afterAutospacing="0"/>
              <w:ind w:left="266" w:right="386"/>
              <w:jc w:val="both"/>
              <w:rPr>
                <w:color w:val="000000"/>
                <w:sz w:val="20"/>
                <w:szCs w:val="20"/>
              </w:rPr>
            </w:pPr>
            <w:r>
              <w:rPr>
                <w:color w:val="000000"/>
                <w:sz w:val="20"/>
                <w:szCs w:val="20"/>
              </w:rPr>
              <w:t>Wiegmann, D. A., &amp; Shappell, S. A. (2003).</w:t>
            </w:r>
            <w:r>
              <w:rPr>
                <w:rStyle w:val="10"/>
                <w:color w:val="000000"/>
                <w:sz w:val="20"/>
                <w:szCs w:val="20"/>
              </w:rPr>
              <w:t> </w:t>
            </w:r>
            <w:r>
              <w:rPr>
                <w:rStyle w:val="5"/>
                <w:color w:val="000000"/>
                <w:sz w:val="20"/>
                <w:szCs w:val="20"/>
              </w:rPr>
              <w:t>A human error approach to aviation accident analysis: The human factors analysis and classification system</w:t>
            </w:r>
            <w:r>
              <w:rPr>
                <w:color w:val="000000"/>
                <w:sz w:val="20"/>
                <w:szCs w:val="20"/>
              </w:rPr>
              <w:t>. Ashgate Publishing.</w:t>
            </w:r>
          </w:p>
          <w:p w14:paraId="2A57C05F">
            <w:pPr>
              <w:pStyle w:val="8"/>
              <w:spacing w:before="120" w:beforeAutospacing="0" w:after="0" w:afterAutospacing="0"/>
              <w:ind w:left="266" w:right="386"/>
              <w:jc w:val="both"/>
              <w:rPr>
                <w:color w:val="000000"/>
                <w:sz w:val="20"/>
                <w:szCs w:val="20"/>
              </w:rPr>
            </w:pPr>
            <w:r>
              <w:rPr>
                <w:color w:val="000000"/>
                <w:sz w:val="20"/>
                <w:szCs w:val="20"/>
              </w:rPr>
              <w:t>Skybrary Aviation Safety. (2023). Crew resource management (CRM) and human factors in aviation. EUROCONTROL.</w:t>
            </w: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515"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327ED"/>
    <w:rsid w:val="00243484"/>
    <w:rsid w:val="00261A67"/>
    <w:rsid w:val="003223E5"/>
    <w:rsid w:val="004478D2"/>
    <w:rsid w:val="0045510C"/>
    <w:rsid w:val="00493F1A"/>
    <w:rsid w:val="004A25A6"/>
    <w:rsid w:val="004A4D07"/>
    <w:rsid w:val="004C0040"/>
    <w:rsid w:val="00563DCD"/>
    <w:rsid w:val="0064498D"/>
    <w:rsid w:val="006501C8"/>
    <w:rsid w:val="00650B07"/>
    <w:rsid w:val="00770839"/>
    <w:rsid w:val="00826A04"/>
    <w:rsid w:val="00866189"/>
    <w:rsid w:val="009B6CC5"/>
    <w:rsid w:val="00A07035"/>
    <w:rsid w:val="00A92ED6"/>
    <w:rsid w:val="00B03E09"/>
    <w:rsid w:val="00B81281"/>
    <w:rsid w:val="00B93937"/>
    <w:rsid w:val="00C161FB"/>
    <w:rsid w:val="00C33E8A"/>
    <w:rsid w:val="00C528D5"/>
    <w:rsid w:val="00C90D48"/>
    <w:rsid w:val="00E92121"/>
    <w:rsid w:val="00EF4607"/>
    <w:rsid w:val="00F85B5B"/>
    <w:rsid w:val="00FC5B4E"/>
    <w:rsid w:val="00FF0081"/>
    <w:rsid w:val="7A81653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uiPriority w:val="0"/>
  </w:style>
  <w:style w:type="character" w:customStyle="1" w:styleId="11">
    <w:name w:val="HTML Preformatted Char"/>
    <w:basedOn w:val="2"/>
    <w:link w:val="6"/>
    <w:semiHidden/>
    <w:uiPriority w:val="99"/>
    <w:rPr>
      <w:rFonts w:ascii="Courier New" w:hAnsi="Courier New" w:eastAsia="Times New Roman" w:cs="Courier New"/>
      <w:sz w:val="20"/>
      <w:szCs w:val="20"/>
      <w:lang w:val="zh-CN"/>
    </w:rPr>
  </w:style>
  <w:style w:type="character" w:customStyle="1" w:styleId="12">
    <w:name w:val="y2iqfc"/>
    <w:basedOn w:val="2"/>
    <w:uiPriority w:val="0"/>
  </w:style>
  <w:style w:type="table" w:customStyle="1" w:styleId="13">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1082</Words>
  <Characters>6168</Characters>
  <Lines>51</Lines>
  <Paragraphs>14</Paragraphs>
  <TotalTime>2</TotalTime>
  <ScaleCrop>false</ScaleCrop>
  <LinksUpToDate>false</LinksUpToDate>
  <CharactersWithSpaces>7236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2026-05-15T12:52:16Z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9E409962F43645D581697831107AC30C_12</vt:lpwstr>
  </property>
</Properties>
</file>