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Aviation</w:t>
            </w:r>
            <w:r>
              <w:rPr>
                <w:rFonts w:ascii="Times New Roman" w:hAnsi="Times New Roman" w:cs="Times New Roman"/>
                <w:b/>
                <w:bCs/>
                <w:spacing w:val="-4"/>
                <w:sz w:val="20"/>
                <w:szCs w:val="20"/>
                <w:lang w:val="en-US"/>
              </w:rPr>
              <w:t xml:space="preserve"> </w:t>
            </w:r>
            <w:r>
              <w:rPr>
                <w:rFonts w:ascii="Times New Roman" w:hAnsi="Times New Roman" w:cs="Times New Roman"/>
                <w:b/>
                <w:bCs/>
                <w:sz w:val="20"/>
                <w:szCs w:val="20"/>
                <w:lang w:val="en-US"/>
              </w:rPr>
              <w:t>Law</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&amp;</w:t>
            </w:r>
            <w:r>
              <w:rPr>
                <w:rFonts w:ascii="Times New Roman" w:hAnsi="Times New Roman" w:cs="Times New Roman"/>
                <w:b/>
                <w:bCs/>
                <w:spacing w:val="-5"/>
                <w:sz w:val="20"/>
                <w:szCs w:val="20"/>
                <w:lang w:val="en-US"/>
              </w:rPr>
              <w:t xml:space="preserve"> </w:t>
            </w:r>
            <w:r>
              <w:rPr>
                <w:rFonts w:ascii="Times New Roman" w:hAnsi="Times New Roman" w:cs="Times New Roman"/>
                <w:b/>
                <w:bCs/>
                <w:spacing w:val="-2"/>
                <w:sz w:val="20"/>
                <w:szCs w:val="20"/>
                <w:lang w:val="en-US"/>
              </w:rPr>
              <w:t>Legislation</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AVM306</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3</w:t>
            </w:r>
            <w:r>
              <w:rPr>
                <w:rFonts w:ascii="Times New Roman" w:hAnsi="Times New Roman" w:cs="Times New Roman"/>
                <w:b/>
                <w:bCs/>
                <w:sz w:val="20"/>
                <w:szCs w:val="20"/>
                <w:vertAlign w:val="superscript"/>
                <w:lang w:val="en-US"/>
              </w:rPr>
              <w:t>rd</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6</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7"/>
                <w:sz w:val="20"/>
                <w:szCs w:val="20"/>
                <w:lang w:val="en-US"/>
              </w:rPr>
              <w:t xml:space="preserve"> </w:t>
            </w:r>
            <w:r>
              <w:rPr>
                <w:rFonts w:ascii="Times New Roman" w:hAnsi="Times New Roman" w:cs="Times New Roman"/>
                <w:b/>
                <w:bCs/>
                <w:sz w:val="20"/>
                <w:szCs w:val="20"/>
                <w:lang w:val="en-US"/>
              </w:rPr>
              <w:t>Fundamentals</w:t>
            </w:r>
            <w:r>
              <w:rPr>
                <w:rFonts w:ascii="Times New Roman" w:hAnsi="Times New Roman" w:cs="Times New Roman"/>
                <w:b/>
                <w:bCs/>
                <w:spacing w:val="-8"/>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7"/>
                <w:sz w:val="20"/>
                <w:szCs w:val="20"/>
                <w:lang w:val="en-US"/>
              </w:rPr>
              <w:t xml:space="preserve"> </w:t>
            </w:r>
            <w:r>
              <w:rPr>
                <w:rFonts w:ascii="Times New Roman" w:hAnsi="Times New Roman" w:cs="Times New Roman"/>
                <w:b/>
                <w:bCs/>
                <w:spacing w:val="-2"/>
                <w:sz w:val="20"/>
                <w:szCs w:val="20"/>
                <w:lang w:val="en-US"/>
              </w:rPr>
              <w:t>Aviation</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09E7F6AD">
            <w:pPr>
              <w:pStyle w:val="9"/>
              <w:numPr>
                <w:ilvl w:val="0"/>
                <w:numId w:val="1"/>
              </w:numPr>
              <w:tabs>
                <w:tab w:val="left" w:pos="472"/>
                <w:tab w:val="left" w:pos="474"/>
              </w:tabs>
              <w:spacing w:before="41"/>
              <w:rPr>
                <w:rFonts w:ascii="Times New Roman" w:hAnsi="Times New Roman" w:cs="Times New Roman"/>
                <w:sz w:val="20"/>
                <w:szCs w:val="20"/>
              </w:rPr>
            </w:pPr>
            <w:r>
              <w:rPr>
                <w:rFonts w:ascii="Times New Roman" w:hAnsi="Times New Roman" w:cs="Times New Roman"/>
                <w:sz w:val="20"/>
                <w:szCs w:val="20"/>
              </w:rPr>
              <w:t>Learn</w:t>
            </w:r>
            <w:r>
              <w:rPr>
                <w:rFonts w:ascii="Times New Roman" w:hAnsi="Times New Roman" w:cs="Times New Roman"/>
                <w:spacing w:val="-5"/>
                <w:sz w:val="20"/>
                <w:szCs w:val="20"/>
              </w:rPr>
              <w:t xml:space="preserve"> </w:t>
            </w:r>
            <w:r>
              <w:rPr>
                <w:rFonts w:ascii="Times New Roman" w:hAnsi="Times New Roman" w:cs="Times New Roman"/>
                <w:sz w:val="20"/>
                <w:szCs w:val="20"/>
              </w:rPr>
              <w:t>about</w:t>
            </w:r>
            <w:r>
              <w:rPr>
                <w:rFonts w:ascii="Times New Roman" w:hAnsi="Times New Roman" w:cs="Times New Roman"/>
                <w:spacing w:val="-5"/>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importance</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Chicago</w:t>
            </w:r>
            <w:r>
              <w:rPr>
                <w:rFonts w:ascii="Times New Roman" w:hAnsi="Times New Roman" w:cs="Times New Roman"/>
                <w:spacing w:val="-5"/>
                <w:sz w:val="20"/>
                <w:szCs w:val="20"/>
              </w:rPr>
              <w:t xml:space="preserve"> </w:t>
            </w:r>
            <w:r>
              <w:rPr>
                <w:rFonts w:ascii="Times New Roman" w:hAnsi="Times New Roman" w:cs="Times New Roman"/>
                <w:sz w:val="20"/>
                <w:szCs w:val="20"/>
              </w:rPr>
              <w:t>Convention</w:t>
            </w:r>
            <w:r>
              <w:rPr>
                <w:rFonts w:ascii="Times New Roman" w:hAnsi="Times New Roman" w:cs="Times New Roman"/>
                <w:spacing w:val="-5"/>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its</w:t>
            </w:r>
            <w:r>
              <w:rPr>
                <w:rFonts w:ascii="Times New Roman" w:hAnsi="Times New Roman" w:cs="Times New Roman"/>
                <w:spacing w:val="-7"/>
                <w:sz w:val="20"/>
                <w:szCs w:val="20"/>
              </w:rPr>
              <w:t xml:space="preserve"> </w:t>
            </w:r>
            <w:r>
              <w:rPr>
                <w:rFonts w:ascii="Times New Roman" w:hAnsi="Times New Roman" w:cs="Times New Roman"/>
                <w:sz w:val="20"/>
                <w:szCs w:val="20"/>
              </w:rPr>
              <w:t>relation</w:t>
            </w:r>
            <w:r>
              <w:rPr>
                <w:rFonts w:ascii="Times New Roman" w:hAnsi="Times New Roman" w:cs="Times New Roman"/>
                <w:spacing w:val="-4"/>
                <w:sz w:val="20"/>
                <w:szCs w:val="20"/>
              </w:rPr>
              <w:t xml:space="preserve"> </w:t>
            </w:r>
            <w:r>
              <w:rPr>
                <w:rFonts w:ascii="Times New Roman" w:hAnsi="Times New Roman" w:cs="Times New Roman"/>
                <w:sz w:val="20"/>
                <w:szCs w:val="20"/>
              </w:rPr>
              <w:t>to</w:t>
            </w:r>
            <w:r>
              <w:rPr>
                <w:rFonts w:ascii="Times New Roman" w:hAnsi="Times New Roman" w:cs="Times New Roman"/>
                <w:spacing w:val="-5"/>
                <w:sz w:val="20"/>
                <w:szCs w:val="20"/>
              </w:rPr>
              <w:t xml:space="preserve"> </w:t>
            </w:r>
            <w:r>
              <w:rPr>
                <w:rFonts w:ascii="Times New Roman" w:hAnsi="Times New Roman" w:cs="Times New Roman"/>
                <w:sz w:val="20"/>
                <w:szCs w:val="20"/>
              </w:rPr>
              <w:t>public</w:t>
            </w:r>
            <w:r>
              <w:rPr>
                <w:rFonts w:ascii="Times New Roman" w:hAnsi="Times New Roman" w:cs="Times New Roman"/>
                <w:spacing w:val="-6"/>
                <w:sz w:val="20"/>
                <w:szCs w:val="20"/>
              </w:rPr>
              <w:t xml:space="preserve"> </w:t>
            </w:r>
            <w:r>
              <w:rPr>
                <w:rFonts w:ascii="Times New Roman" w:hAnsi="Times New Roman" w:cs="Times New Roman"/>
                <w:sz w:val="20"/>
                <w:szCs w:val="20"/>
              </w:rPr>
              <w:t>international</w:t>
            </w:r>
            <w:r>
              <w:rPr>
                <w:rFonts w:ascii="Times New Roman" w:hAnsi="Times New Roman" w:cs="Times New Roman"/>
                <w:spacing w:val="-5"/>
                <w:sz w:val="20"/>
                <w:szCs w:val="20"/>
              </w:rPr>
              <w:t xml:space="preserve"> </w:t>
            </w:r>
            <w:r>
              <w:rPr>
                <w:rFonts w:ascii="Times New Roman" w:hAnsi="Times New Roman" w:cs="Times New Roman"/>
                <w:sz w:val="20"/>
                <w:szCs w:val="20"/>
              </w:rPr>
              <w:t>air</w:t>
            </w:r>
            <w:r>
              <w:rPr>
                <w:rFonts w:ascii="Times New Roman" w:hAnsi="Times New Roman" w:cs="Times New Roman"/>
                <w:spacing w:val="-5"/>
                <w:sz w:val="20"/>
                <w:szCs w:val="20"/>
              </w:rPr>
              <w:t xml:space="preserve"> law</w:t>
            </w:r>
          </w:p>
          <w:p w14:paraId="469A540F">
            <w:pPr>
              <w:pStyle w:val="9"/>
              <w:numPr>
                <w:ilvl w:val="0"/>
                <w:numId w:val="1"/>
              </w:numPr>
              <w:tabs>
                <w:tab w:val="left" w:pos="472"/>
                <w:tab w:val="left" w:pos="474"/>
              </w:tabs>
              <w:rPr>
                <w:rFonts w:ascii="Times New Roman" w:hAnsi="Times New Roman" w:cs="Times New Roman"/>
                <w:sz w:val="20"/>
                <w:szCs w:val="20"/>
              </w:rPr>
            </w:pPr>
            <w:r>
              <w:rPr>
                <w:rFonts w:ascii="Times New Roman" w:hAnsi="Times New Roman" w:cs="Times New Roman"/>
                <w:sz w:val="20"/>
                <w:szCs w:val="20"/>
              </w:rPr>
              <w:t>Analyze</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impact</w:t>
            </w:r>
            <w:r>
              <w:rPr>
                <w:rFonts w:ascii="Times New Roman" w:hAnsi="Times New Roman" w:cs="Times New Roman"/>
                <w:spacing w:val="-5"/>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private</w:t>
            </w:r>
            <w:r>
              <w:rPr>
                <w:rFonts w:ascii="Times New Roman" w:hAnsi="Times New Roman" w:cs="Times New Roman"/>
                <w:spacing w:val="-4"/>
                <w:sz w:val="20"/>
                <w:szCs w:val="20"/>
              </w:rPr>
              <w:t xml:space="preserve"> </w:t>
            </w:r>
            <w:r>
              <w:rPr>
                <w:rFonts w:ascii="Times New Roman" w:hAnsi="Times New Roman" w:cs="Times New Roman"/>
                <w:sz w:val="20"/>
                <w:szCs w:val="20"/>
              </w:rPr>
              <w:t>international</w:t>
            </w:r>
            <w:r>
              <w:rPr>
                <w:rFonts w:ascii="Times New Roman" w:hAnsi="Times New Roman" w:cs="Times New Roman"/>
                <w:spacing w:val="-4"/>
                <w:sz w:val="20"/>
                <w:szCs w:val="20"/>
              </w:rPr>
              <w:t xml:space="preserve"> </w:t>
            </w:r>
            <w:r>
              <w:rPr>
                <w:rFonts w:ascii="Times New Roman" w:hAnsi="Times New Roman" w:cs="Times New Roman"/>
                <w:sz w:val="20"/>
                <w:szCs w:val="20"/>
              </w:rPr>
              <w:t>air</w:t>
            </w:r>
            <w:r>
              <w:rPr>
                <w:rFonts w:ascii="Times New Roman" w:hAnsi="Times New Roman" w:cs="Times New Roman"/>
                <w:spacing w:val="-5"/>
                <w:sz w:val="20"/>
                <w:szCs w:val="20"/>
              </w:rPr>
              <w:t xml:space="preserve"> </w:t>
            </w:r>
            <w:r>
              <w:rPr>
                <w:rFonts w:ascii="Times New Roman" w:hAnsi="Times New Roman" w:cs="Times New Roman"/>
                <w:sz w:val="20"/>
                <w:szCs w:val="20"/>
              </w:rPr>
              <w:t>law</w:t>
            </w:r>
            <w:r>
              <w:rPr>
                <w:rFonts w:ascii="Times New Roman" w:hAnsi="Times New Roman" w:cs="Times New Roman"/>
                <w:spacing w:val="-5"/>
                <w:sz w:val="20"/>
                <w:szCs w:val="20"/>
              </w:rPr>
              <w:t xml:space="preserve"> </w:t>
            </w:r>
            <w:r>
              <w:rPr>
                <w:rFonts w:ascii="Times New Roman" w:hAnsi="Times New Roman" w:cs="Times New Roman"/>
                <w:sz w:val="20"/>
                <w:szCs w:val="20"/>
              </w:rPr>
              <w:t>instruments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Warsaw</w:t>
            </w:r>
            <w:r>
              <w:rPr>
                <w:rFonts w:ascii="Times New Roman" w:hAnsi="Times New Roman" w:cs="Times New Roman"/>
                <w:spacing w:val="-5"/>
                <w:sz w:val="20"/>
                <w:szCs w:val="20"/>
              </w:rPr>
              <w:t xml:space="preserve"> </w:t>
            </w:r>
            <w:r>
              <w:rPr>
                <w:rFonts w:ascii="Times New Roman" w:hAnsi="Times New Roman" w:cs="Times New Roman"/>
                <w:sz w:val="20"/>
                <w:szCs w:val="20"/>
              </w:rPr>
              <w:t>system</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pacing w:val="-4"/>
                <w:sz w:val="20"/>
                <w:szCs w:val="20"/>
              </w:rPr>
              <w:t>M99.</w:t>
            </w:r>
          </w:p>
          <w:p w14:paraId="7B3EEFB8">
            <w:pPr>
              <w:pStyle w:val="9"/>
              <w:numPr>
                <w:ilvl w:val="0"/>
                <w:numId w:val="1"/>
              </w:numPr>
              <w:tabs>
                <w:tab w:val="left" w:pos="472"/>
                <w:tab w:val="left" w:pos="474"/>
              </w:tabs>
              <w:rPr>
                <w:rFonts w:ascii="Times New Roman" w:hAnsi="Times New Roman" w:cs="Times New Roman"/>
                <w:sz w:val="20"/>
                <w:szCs w:val="20"/>
              </w:rPr>
            </w:pPr>
            <w:r>
              <w:rPr>
                <w:rFonts w:ascii="Times New Roman" w:hAnsi="Times New Roman" w:cs="Times New Roman"/>
                <w:sz w:val="20"/>
                <w:szCs w:val="20"/>
              </w:rPr>
              <w:t>Understand</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legal</w:t>
            </w:r>
            <w:r>
              <w:rPr>
                <w:rFonts w:ascii="Times New Roman" w:hAnsi="Times New Roman" w:cs="Times New Roman"/>
                <w:spacing w:val="-5"/>
                <w:sz w:val="20"/>
                <w:szCs w:val="20"/>
              </w:rPr>
              <w:t xml:space="preserve"> </w:t>
            </w:r>
            <w:r>
              <w:rPr>
                <w:rFonts w:ascii="Times New Roman" w:hAnsi="Times New Roman" w:cs="Times New Roman"/>
                <w:sz w:val="20"/>
                <w:szCs w:val="20"/>
              </w:rPr>
              <w:t>and</w:t>
            </w:r>
            <w:r>
              <w:rPr>
                <w:rFonts w:ascii="Times New Roman" w:hAnsi="Times New Roman" w:cs="Times New Roman"/>
                <w:spacing w:val="-6"/>
                <w:sz w:val="20"/>
                <w:szCs w:val="20"/>
              </w:rPr>
              <w:t xml:space="preserve"> </w:t>
            </w:r>
            <w:r>
              <w:rPr>
                <w:rFonts w:ascii="Times New Roman" w:hAnsi="Times New Roman" w:cs="Times New Roman"/>
                <w:sz w:val="20"/>
                <w:szCs w:val="20"/>
              </w:rPr>
              <w:t>institutional</w:t>
            </w:r>
            <w:r>
              <w:rPr>
                <w:rFonts w:ascii="Times New Roman" w:hAnsi="Times New Roman" w:cs="Times New Roman"/>
                <w:spacing w:val="-5"/>
                <w:sz w:val="20"/>
                <w:szCs w:val="20"/>
              </w:rPr>
              <w:t xml:space="preserve"> </w:t>
            </w:r>
            <w:r>
              <w:rPr>
                <w:rFonts w:ascii="Times New Roman" w:hAnsi="Times New Roman" w:cs="Times New Roman"/>
                <w:sz w:val="20"/>
                <w:szCs w:val="20"/>
              </w:rPr>
              <w:t>framework</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European</w:t>
            </w:r>
            <w:r>
              <w:rPr>
                <w:rFonts w:ascii="Times New Roman" w:hAnsi="Times New Roman" w:cs="Times New Roman"/>
                <w:spacing w:val="-4"/>
                <w:sz w:val="20"/>
                <w:szCs w:val="20"/>
              </w:rPr>
              <w:t xml:space="preserve"> </w:t>
            </w:r>
            <w:r>
              <w:rPr>
                <w:rFonts w:ascii="Times New Roman" w:hAnsi="Times New Roman" w:cs="Times New Roman"/>
                <w:sz w:val="20"/>
                <w:szCs w:val="20"/>
              </w:rPr>
              <w:t>Union</w:t>
            </w:r>
            <w:r>
              <w:rPr>
                <w:rFonts w:ascii="Times New Roman" w:hAnsi="Times New Roman" w:cs="Times New Roman"/>
                <w:spacing w:val="-5"/>
                <w:sz w:val="20"/>
                <w:szCs w:val="20"/>
              </w:rPr>
              <w:t xml:space="preserve"> </w:t>
            </w:r>
            <w:r>
              <w:rPr>
                <w:rFonts w:ascii="Times New Roman" w:hAnsi="Times New Roman" w:cs="Times New Roman"/>
                <w:sz w:val="20"/>
                <w:szCs w:val="20"/>
              </w:rPr>
              <w:t>with</w:t>
            </w:r>
            <w:r>
              <w:rPr>
                <w:rFonts w:ascii="Times New Roman" w:hAnsi="Times New Roman" w:cs="Times New Roman"/>
                <w:spacing w:val="-5"/>
                <w:sz w:val="20"/>
                <w:szCs w:val="20"/>
              </w:rPr>
              <w:t xml:space="preserve"> </w:t>
            </w:r>
            <w:r>
              <w:rPr>
                <w:rFonts w:ascii="Times New Roman" w:hAnsi="Times New Roman" w:cs="Times New Roman"/>
                <w:sz w:val="20"/>
                <w:szCs w:val="20"/>
              </w:rPr>
              <w:t>reference</w:t>
            </w:r>
            <w:r>
              <w:rPr>
                <w:rFonts w:ascii="Times New Roman" w:hAnsi="Times New Roman" w:cs="Times New Roman"/>
                <w:spacing w:val="-7"/>
                <w:sz w:val="20"/>
                <w:szCs w:val="20"/>
              </w:rPr>
              <w:t xml:space="preserve"> </w:t>
            </w:r>
            <w:r>
              <w:rPr>
                <w:rFonts w:ascii="Times New Roman" w:hAnsi="Times New Roman" w:cs="Times New Roman"/>
                <w:sz w:val="20"/>
                <w:szCs w:val="20"/>
              </w:rPr>
              <w:t>to</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aviation.</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z w:val="20"/>
                <w:szCs w:val="20"/>
              </w:rPr>
              <w:t>This</w:t>
            </w:r>
            <w:r>
              <w:rPr>
                <w:rFonts w:ascii="Times New Roman" w:hAnsi="Times New Roman" w:cs="Times New Roman"/>
                <w:spacing w:val="-2"/>
                <w:sz w:val="20"/>
                <w:szCs w:val="20"/>
              </w:rPr>
              <w:t xml:space="preserve"> </w:t>
            </w:r>
            <w:r>
              <w:rPr>
                <w:rFonts w:ascii="Times New Roman" w:hAnsi="Times New Roman" w:cs="Times New Roman"/>
                <w:sz w:val="20"/>
                <w:szCs w:val="20"/>
              </w:rPr>
              <w:t>course</w:t>
            </w:r>
            <w:r>
              <w:rPr>
                <w:rFonts w:ascii="Times New Roman" w:hAnsi="Times New Roman" w:cs="Times New Roman"/>
                <w:spacing w:val="-2"/>
                <w:sz w:val="20"/>
                <w:szCs w:val="20"/>
              </w:rPr>
              <w:t xml:space="preserve"> </w:t>
            </w:r>
            <w:r>
              <w:rPr>
                <w:rFonts w:ascii="Times New Roman" w:hAnsi="Times New Roman" w:cs="Times New Roman"/>
                <w:sz w:val="20"/>
                <w:szCs w:val="20"/>
              </w:rPr>
              <w:t>provides</w:t>
            </w:r>
            <w:r>
              <w:rPr>
                <w:rFonts w:ascii="Times New Roman" w:hAnsi="Times New Roman" w:cs="Times New Roman"/>
                <w:spacing w:val="-2"/>
                <w:sz w:val="20"/>
                <w:szCs w:val="20"/>
              </w:rPr>
              <w:t xml:space="preserve"> </w:t>
            </w:r>
            <w:r>
              <w:rPr>
                <w:rFonts w:ascii="Times New Roman" w:hAnsi="Times New Roman" w:cs="Times New Roman"/>
                <w:sz w:val="20"/>
                <w:szCs w:val="20"/>
              </w:rPr>
              <w:t>an in-depth review</w:t>
            </w:r>
            <w:r>
              <w:rPr>
                <w:rFonts w:ascii="Times New Roman" w:hAnsi="Times New Roman" w:cs="Times New Roman"/>
                <w:spacing w:val="-2"/>
                <w:sz w:val="20"/>
                <w:szCs w:val="20"/>
              </w:rPr>
              <w:t xml:space="preserve"> </w:t>
            </w:r>
            <w:r>
              <w:rPr>
                <w:rFonts w:ascii="Times New Roman" w:hAnsi="Times New Roman" w:cs="Times New Roman"/>
                <w:sz w:val="20"/>
                <w:szCs w:val="20"/>
              </w:rPr>
              <w:t>of the</w:t>
            </w:r>
            <w:r>
              <w:rPr>
                <w:rFonts w:ascii="Times New Roman" w:hAnsi="Times New Roman" w:cs="Times New Roman"/>
                <w:spacing w:val="-2"/>
                <w:sz w:val="20"/>
                <w:szCs w:val="20"/>
              </w:rPr>
              <w:t xml:space="preserve"> </w:t>
            </w:r>
            <w:r>
              <w:rPr>
                <w:rFonts w:ascii="Times New Roman" w:hAnsi="Times New Roman" w:cs="Times New Roman"/>
                <w:sz w:val="20"/>
                <w:szCs w:val="20"/>
              </w:rPr>
              <w:t>key aspects of</w:t>
            </w:r>
            <w:r>
              <w:rPr>
                <w:rFonts w:ascii="Times New Roman" w:hAnsi="Times New Roman" w:cs="Times New Roman"/>
                <w:spacing w:val="-2"/>
                <w:sz w:val="20"/>
                <w:szCs w:val="20"/>
              </w:rPr>
              <w:t xml:space="preserve"> </w:t>
            </w:r>
            <w:r>
              <w:rPr>
                <w:rFonts w:ascii="Times New Roman" w:hAnsi="Times New Roman" w:cs="Times New Roman"/>
                <w:sz w:val="20"/>
                <w:szCs w:val="20"/>
              </w:rPr>
              <w:t>the</w:t>
            </w:r>
            <w:r>
              <w:rPr>
                <w:rFonts w:ascii="Times New Roman" w:hAnsi="Times New Roman" w:cs="Times New Roman"/>
                <w:spacing w:val="-2"/>
                <w:sz w:val="20"/>
                <w:szCs w:val="20"/>
              </w:rPr>
              <w:t xml:space="preserve"> </w:t>
            </w:r>
            <w:r>
              <w:rPr>
                <w:rFonts w:ascii="Times New Roman" w:hAnsi="Times New Roman" w:cs="Times New Roman"/>
                <w:sz w:val="20"/>
                <w:szCs w:val="20"/>
              </w:rPr>
              <w:t>international</w:t>
            </w:r>
            <w:r>
              <w:rPr>
                <w:rFonts w:ascii="Times New Roman" w:hAnsi="Times New Roman" w:cs="Times New Roman"/>
                <w:spacing w:val="-1"/>
                <w:sz w:val="20"/>
                <w:szCs w:val="20"/>
              </w:rPr>
              <w:t xml:space="preserve"> </w:t>
            </w:r>
            <w:r>
              <w:rPr>
                <w:rFonts w:ascii="Times New Roman" w:hAnsi="Times New Roman" w:cs="Times New Roman"/>
                <w:sz w:val="20"/>
                <w:szCs w:val="20"/>
              </w:rPr>
              <w:t>air</w:t>
            </w:r>
            <w:r>
              <w:rPr>
                <w:rFonts w:ascii="Times New Roman" w:hAnsi="Times New Roman" w:cs="Times New Roman"/>
                <w:spacing w:val="-1"/>
                <w:sz w:val="20"/>
                <w:szCs w:val="20"/>
              </w:rPr>
              <w:t xml:space="preserve"> </w:t>
            </w:r>
            <w:r>
              <w:rPr>
                <w:rFonts w:ascii="Times New Roman" w:hAnsi="Times New Roman" w:cs="Times New Roman"/>
                <w:sz w:val="20"/>
                <w:szCs w:val="20"/>
              </w:rPr>
              <w:t>law.</w:t>
            </w:r>
            <w:r>
              <w:rPr>
                <w:rFonts w:ascii="Times New Roman" w:hAnsi="Times New Roman" w:cs="Times New Roman"/>
                <w:spacing w:val="-1"/>
                <w:sz w:val="20"/>
                <w:szCs w:val="20"/>
              </w:rPr>
              <w:t xml:space="preserve"> </w:t>
            </w:r>
            <w:r>
              <w:rPr>
                <w:rFonts w:ascii="Times New Roman" w:hAnsi="Times New Roman" w:cs="Times New Roman"/>
                <w:sz w:val="20"/>
                <w:szCs w:val="20"/>
              </w:rPr>
              <w:t>Students</w:t>
            </w:r>
            <w:r>
              <w:rPr>
                <w:rFonts w:ascii="Times New Roman" w:hAnsi="Times New Roman" w:cs="Times New Roman"/>
                <w:spacing w:val="-1"/>
                <w:sz w:val="20"/>
                <w:szCs w:val="20"/>
              </w:rPr>
              <w:t xml:space="preserve"> </w:t>
            </w:r>
            <w:r>
              <w:rPr>
                <w:rFonts w:ascii="Times New Roman" w:hAnsi="Times New Roman" w:cs="Times New Roman"/>
                <w:sz w:val="20"/>
                <w:szCs w:val="20"/>
              </w:rPr>
              <w:t>will</w:t>
            </w:r>
            <w:r>
              <w:rPr>
                <w:rFonts w:ascii="Times New Roman" w:hAnsi="Times New Roman" w:cs="Times New Roman"/>
                <w:spacing w:val="-1"/>
                <w:sz w:val="20"/>
                <w:szCs w:val="20"/>
              </w:rPr>
              <w:t xml:space="preserve"> </w:t>
            </w:r>
            <w:r>
              <w:rPr>
                <w:rFonts w:ascii="Times New Roman" w:hAnsi="Times New Roman" w:cs="Times New Roman"/>
                <w:sz w:val="20"/>
                <w:szCs w:val="20"/>
              </w:rPr>
              <w:t>gain insight into the legal and institutional framework of international air law regimes by studying the role and function of principal organizations involved in regulating the industry. Learning how air law developments and legal issues directly</w:t>
            </w:r>
            <w:r>
              <w:rPr>
                <w:rFonts w:ascii="Times New Roman" w:hAnsi="Times New Roman" w:cs="Times New Roman"/>
                <w:spacing w:val="-2"/>
                <w:sz w:val="20"/>
                <w:szCs w:val="20"/>
              </w:rPr>
              <w:t xml:space="preserve"> </w:t>
            </w:r>
            <w:r>
              <w:rPr>
                <w:rFonts w:ascii="Times New Roman" w:hAnsi="Times New Roman" w:cs="Times New Roman"/>
                <w:sz w:val="20"/>
                <w:szCs w:val="20"/>
              </w:rPr>
              <w:t>impact</w:t>
            </w:r>
            <w:r>
              <w:rPr>
                <w:rFonts w:ascii="Times New Roman" w:hAnsi="Times New Roman" w:cs="Times New Roman"/>
                <w:spacing w:val="-2"/>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z w:val="20"/>
                <w:szCs w:val="20"/>
              </w:rPr>
              <w:t>aviation</w:t>
            </w:r>
            <w:r>
              <w:rPr>
                <w:rFonts w:ascii="Times New Roman" w:hAnsi="Times New Roman" w:cs="Times New Roman"/>
                <w:spacing w:val="-1"/>
                <w:sz w:val="20"/>
                <w:szCs w:val="20"/>
              </w:rPr>
              <w:t xml:space="preserve"> </w:t>
            </w:r>
            <w:r>
              <w:rPr>
                <w:rFonts w:ascii="Times New Roman" w:hAnsi="Times New Roman" w:cs="Times New Roman"/>
                <w:sz w:val="20"/>
                <w:szCs w:val="20"/>
              </w:rPr>
              <w:t>industry,</w:t>
            </w:r>
            <w:r>
              <w:rPr>
                <w:rFonts w:ascii="Times New Roman" w:hAnsi="Times New Roman" w:cs="Times New Roman"/>
                <w:spacing w:val="-2"/>
                <w:sz w:val="20"/>
                <w:szCs w:val="20"/>
              </w:rPr>
              <w:t xml:space="preserve"> </w:t>
            </w:r>
            <w:r>
              <w:rPr>
                <w:rFonts w:ascii="Times New Roman" w:hAnsi="Times New Roman" w:cs="Times New Roman"/>
                <w:sz w:val="20"/>
                <w:szCs w:val="20"/>
              </w:rPr>
              <w:t>and</w:t>
            </w:r>
            <w:r>
              <w:rPr>
                <w:rFonts w:ascii="Times New Roman" w:hAnsi="Times New Roman" w:cs="Times New Roman"/>
                <w:spacing w:val="-2"/>
                <w:sz w:val="20"/>
                <w:szCs w:val="20"/>
              </w:rPr>
              <w:t xml:space="preserve"> </w:t>
            </w:r>
            <w:r>
              <w:rPr>
                <w:rFonts w:ascii="Times New Roman" w:hAnsi="Times New Roman" w:cs="Times New Roman"/>
                <w:sz w:val="20"/>
                <w:szCs w:val="20"/>
              </w:rPr>
              <w:t>exploring</w:t>
            </w:r>
            <w:r>
              <w:rPr>
                <w:rFonts w:ascii="Times New Roman" w:hAnsi="Times New Roman" w:cs="Times New Roman"/>
                <w:spacing w:val="-3"/>
                <w:sz w:val="20"/>
                <w:szCs w:val="20"/>
              </w:rPr>
              <w:t xml:space="preserve"> </w:t>
            </w:r>
            <w:r>
              <w:rPr>
                <w:rFonts w:ascii="Times New Roman" w:hAnsi="Times New Roman" w:cs="Times New Roman"/>
                <w:sz w:val="20"/>
                <w:szCs w:val="20"/>
              </w:rPr>
              <w:t>potential</w:t>
            </w:r>
            <w:r>
              <w:rPr>
                <w:rFonts w:ascii="Times New Roman" w:hAnsi="Times New Roman" w:cs="Times New Roman"/>
                <w:spacing w:val="-2"/>
                <w:sz w:val="20"/>
                <w:szCs w:val="20"/>
              </w:rPr>
              <w:t xml:space="preserve"> </w:t>
            </w:r>
            <w:r>
              <w:rPr>
                <w:rFonts w:ascii="Times New Roman" w:hAnsi="Times New Roman" w:cs="Times New Roman"/>
                <w:sz w:val="20"/>
                <w:szCs w:val="20"/>
              </w:rPr>
              <w:t>solutions</w:t>
            </w:r>
            <w:r>
              <w:rPr>
                <w:rFonts w:ascii="Times New Roman" w:hAnsi="Times New Roman" w:cs="Times New Roman"/>
                <w:spacing w:val="-4"/>
                <w:sz w:val="20"/>
                <w:szCs w:val="20"/>
              </w:rPr>
              <w:t xml:space="preserve"> </w:t>
            </w:r>
            <w:r>
              <w:rPr>
                <w:rFonts w:ascii="Times New Roman" w:hAnsi="Times New Roman" w:cs="Times New Roman"/>
                <w:sz w:val="20"/>
                <w:szCs w:val="20"/>
              </w:rPr>
              <w:t>to common</w:t>
            </w:r>
            <w:r>
              <w:rPr>
                <w:rFonts w:ascii="Times New Roman" w:hAnsi="Times New Roman" w:cs="Times New Roman"/>
                <w:spacing w:val="-2"/>
                <w:sz w:val="20"/>
                <w:szCs w:val="20"/>
              </w:rPr>
              <w:t xml:space="preserve"> </w:t>
            </w:r>
            <w:r>
              <w:rPr>
                <w:rFonts w:ascii="Times New Roman" w:hAnsi="Times New Roman" w:cs="Times New Roman"/>
                <w:sz w:val="20"/>
                <w:szCs w:val="20"/>
              </w:rPr>
              <w:t>air</w:t>
            </w:r>
            <w:r>
              <w:rPr>
                <w:rFonts w:ascii="Times New Roman" w:hAnsi="Times New Roman" w:cs="Times New Roman"/>
                <w:spacing w:val="-2"/>
                <w:sz w:val="20"/>
                <w:szCs w:val="20"/>
              </w:rPr>
              <w:t xml:space="preserve"> </w:t>
            </w:r>
            <w:r>
              <w:rPr>
                <w:rFonts w:ascii="Times New Roman" w:hAnsi="Times New Roman" w:cs="Times New Roman"/>
                <w:sz w:val="20"/>
                <w:szCs w:val="20"/>
              </w:rPr>
              <w:t>law</w:t>
            </w:r>
            <w:r>
              <w:rPr>
                <w:rFonts w:ascii="Times New Roman" w:hAnsi="Times New Roman" w:cs="Times New Roman"/>
                <w:spacing w:val="-3"/>
                <w:sz w:val="20"/>
                <w:szCs w:val="20"/>
              </w:rPr>
              <w:t xml:space="preserve"> </w:t>
            </w:r>
            <w:r>
              <w:rPr>
                <w:rFonts w:ascii="Times New Roman" w:hAnsi="Times New Roman" w:cs="Times New Roman"/>
                <w:sz w:val="20"/>
                <w:szCs w:val="20"/>
              </w:rPr>
              <w:t>issues</w:t>
            </w:r>
            <w:r>
              <w:rPr>
                <w:rFonts w:ascii="Times New Roman" w:hAnsi="Times New Roman" w:cs="Times New Roman"/>
                <w:spacing w:val="-1"/>
                <w:sz w:val="20"/>
                <w:szCs w:val="20"/>
              </w:rPr>
              <w:t xml:space="preserve"> </w:t>
            </w:r>
            <w:r>
              <w:rPr>
                <w:rFonts w:ascii="Times New Roman" w:hAnsi="Times New Roman" w:cs="Times New Roman"/>
                <w:sz w:val="20"/>
                <w:szCs w:val="20"/>
              </w:rPr>
              <w:t>will sum</w:t>
            </w:r>
            <w:r>
              <w:rPr>
                <w:rFonts w:ascii="Times New Roman" w:hAnsi="Times New Roman" w:cs="Times New Roman"/>
                <w:spacing w:val="-1"/>
                <w:sz w:val="20"/>
                <w:szCs w:val="20"/>
              </w:rPr>
              <w:t xml:space="preserve"> </w:t>
            </w:r>
            <w:r>
              <w:rPr>
                <w:rFonts w:ascii="Times New Roman" w:hAnsi="Times New Roman" w:cs="Times New Roman"/>
                <w:sz w:val="20"/>
                <w:szCs w:val="20"/>
              </w:rPr>
              <w:t>up</w:t>
            </w:r>
            <w:r>
              <w:rPr>
                <w:rFonts w:ascii="Times New Roman" w:hAnsi="Times New Roman" w:cs="Times New Roman"/>
                <w:spacing w:val="-2"/>
                <w:sz w:val="20"/>
                <w:szCs w:val="20"/>
              </w:rPr>
              <w:t xml:space="preserve"> </w:t>
            </w:r>
            <w:r>
              <w:rPr>
                <w:rFonts w:ascii="Times New Roman" w:hAnsi="Times New Roman" w:cs="Times New Roman"/>
                <w:sz w:val="20"/>
                <w:szCs w:val="20"/>
              </w:rPr>
              <w:t xml:space="preserve">the </w:t>
            </w:r>
            <w:r>
              <w:rPr>
                <w:rFonts w:ascii="Times New Roman" w:hAnsi="Times New Roman" w:cs="Times New Roman"/>
                <w:spacing w:val="-2"/>
                <w:sz w:val="20"/>
                <w:szCs w:val="20"/>
              </w:rPr>
              <w:t>course</w:t>
            </w:r>
            <w:r>
              <w:rPr>
                <w:rFonts w:ascii="Times New Roman" w:hAnsi="Times New Roman" w:cs="Times New Roman"/>
                <w:sz w:val="20"/>
                <w:szCs w:val="20"/>
              </w:rPr>
              <w:t>.</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of international aviation law and legislation.</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role and significance of the Chicago Convention in global aviation regulation.</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public international air law frameworks and their application in aviation.</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Examine private international air law instruments, including the Warsaw system and Montreal Convention (M99).</w:t>
            </w:r>
          </w:p>
        </w:tc>
        <w:tc>
          <w:tcPr>
            <w:tcW w:w="1460" w:type="dxa"/>
            <w:gridSpan w:val="3"/>
          </w:tcPr>
          <w:p w14:paraId="54D1D47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1,3,4</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legal and institutional framework of the European Union in aviation.</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the role and functions of international aviation regulatory organizations.</w:t>
            </w:r>
          </w:p>
        </w:tc>
        <w:tc>
          <w:tcPr>
            <w:tcW w:w="1460" w:type="dxa"/>
            <w:gridSpan w:val="3"/>
          </w:tcPr>
          <w:p w14:paraId="572F0560">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1,3</w:t>
            </w:r>
            <w:r>
              <w:rPr>
                <w:rFonts w:ascii="Times New Roman" w:hAnsi="Times New Roman" w:eastAsia="Times New Roman" w:cs="Times New Roman"/>
                <w:sz w:val="20"/>
                <w:szCs w:val="20"/>
                <w:lang w:val="en-US"/>
              </w:rPr>
              <w:t>,</w:t>
            </w:r>
            <w:r>
              <w:rPr>
                <w:rFonts w:hint="default" w:ascii="Times New Roman" w:hAnsi="Times New Roman" w:eastAsia="Times New Roman" w:cs="Times New Roman"/>
                <w:sz w:val="20"/>
                <w:szCs w:val="20"/>
                <w:lang w:val="tr-TR"/>
              </w:rPr>
              <w:t>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legal issues affecting the aviation industry and their operational implications.</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awareness of legal reasoning and compliance in aviation management contexts.</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BB795BA">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2C816EA6">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6C2A4099">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3</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01622288">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Act in accordance with professional ethics and social responsibility principles.</w:t>
            </w:r>
          </w:p>
        </w:tc>
        <w:tc>
          <w:tcPr>
            <w:tcW w:w="919" w:type="dxa"/>
            <w:gridSpan w:val="2"/>
          </w:tcPr>
          <w:p w14:paraId="2303CE75">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Communicate effectively in both Turkish and English in professional contexts.</w:t>
            </w:r>
          </w:p>
        </w:tc>
        <w:tc>
          <w:tcPr>
            <w:tcW w:w="919" w:type="dxa"/>
            <w:gridSpan w:val="2"/>
          </w:tcPr>
          <w:p w14:paraId="6528D156">
            <w:pPr>
              <w:widowControl w:val="0"/>
              <w:autoSpaceDE w:val="0"/>
              <w:autoSpaceDN w:val="0"/>
              <w:spacing w:before="2" w:after="0" w:line="240" w:lineRule="auto"/>
              <w:ind w:left="16"/>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bookmarkStart w:id="0" w:name="_GoBack"/>
            <w:bookmarkEnd w:id="0"/>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 to Air Law: definition, classification, history, sources of air law</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International and regional organizations: International Civil Aviation Organization (ICAO), International Air Transport Association (IATA), International Europe Civil Aviation Conference (ECAC), Eurocontrol, Joint Aviation Authority (JAA)</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Convention on International Civil Aviation (Chicago Convention), Tokyo Convention, Geneva Convention</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 carrier liability: Warsaw Convention and Lahey Protocol, Montreal Convention</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Turkish Civil Aviation Law; Aircraft: Concept and Types, Legal Nature of Aircraft,</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Identity, Nationality, Registration of Aircraft</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Ownership of Aircraft</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 Transportation Contract</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 passenger rights</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Air Carrier Operators, Liability of Air Carriers</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Aviation security conventions</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Aviation insurance</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Competition and Alliance Regulations in Air Transportation</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1" w:hRule="atLeast"/>
        </w:trPr>
        <w:tc>
          <w:tcPr>
            <w:tcW w:w="9669" w:type="dxa"/>
            <w:gridSpan w:val="13"/>
            <w:vAlign w:val="center"/>
          </w:tcPr>
          <w:p w14:paraId="67DF71E7">
            <w:pPr>
              <w:pBdr>
                <w:top w:val="none" w:color="auto" w:sz="0" w:space="0"/>
                <w:left w:val="none" w:color="auto" w:sz="0" w:space="0"/>
                <w:bottom w:val="none" w:color="auto" w:sz="0" w:space="0"/>
                <w:right w:val="none" w:color="auto" w:sz="0" w:space="0"/>
                <w:between w:val="none" w:color="auto" w:sz="0" w:space="0"/>
              </w:pBdr>
              <w:spacing w:before="23"/>
              <w:ind w:left="143" w:right="163"/>
              <w:jc w:val="both"/>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Textbook: </w:t>
            </w:r>
          </w:p>
          <w:p w14:paraId="147E72E5">
            <w:pPr>
              <w:pStyle w:val="8"/>
              <w:spacing w:before="0" w:beforeAutospacing="0" w:after="120" w:afterAutospacing="0"/>
              <w:ind w:left="144" w:right="226"/>
              <w:jc w:val="both"/>
              <w:rPr>
                <w:color w:val="000000"/>
                <w:sz w:val="20"/>
                <w:szCs w:val="20"/>
                <w:lang w:val="en-US"/>
              </w:rPr>
            </w:pPr>
            <w:r>
              <w:rPr>
                <w:color w:val="000000"/>
                <w:sz w:val="20"/>
                <w:szCs w:val="20"/>
                <w:lang w:val="en-US"/>
              </w:rPr>
              <w:t>International Civil Aviation Organization. (2006).</w:t>
            </w:r>
            <w:r>
              <w:rPr>
                <w:rStyle w:val="10"/>
                <w:color w:val="000000"/>
                <w:sz w:val="20"/>
                <w:szCs w:val="20"/>
                <w:lang w:val="en-US"/>
              </w:rPr>
              <w:t> </w:t>
            </w:r>
            <w:r>
              <w:rPr>
                <w:rStyle w:val="5"/>
                <w:color w:val="000000"/>
                <w:sz w:val="20"/>
                <w:szCs w:val="20"/>
                <w:lang w:val="en-US"/>
              </w:rPr>
              <w:t>Convention on International Civil Aviation (Chicago Convention)</w:t>
            </w:r>
            <w:r>
              <w:rPr>
                <w:rStyle w:val="10"/>
                <w:color w:val="000000"/>
                <w:sz w:val="20"/>
                <w:szCs w:val="20"/>
                <w:lang w:val="en-US"/>
              </w:rPr>
              <w:t> </w:t>
            </w:r>
            <w:r>
              <w:rPr>
                <w:color w:val="000000"/>
                <w:sz w:val="20"/>
                <w:szCs w:val="20"/>
                <w:lang w:val="en-US"/>
              </w:rPr>
              <w:t>(9th ed.). ICAO.</w:t>
            </w:r>
          </w:p>
          <w:p w14:paraId="520A726A">
            <w:pPr>
              <w:pStyle w:val="9"/>
              <w:spacing w:before="25" w:line="243" w:lineRule="exact"/>
              <w:ind w:left="144" w:right="226"/>
              <w:jc w:val="both"/>
              <w:rPr>
                <w:rFonts w:ascii="Times New Roman" w:hAnsi="Times New Roman" w:cs="Times New Roman"/>
                <w:b/>
                <w:sz w:val="20"/>
                <w:szCs w:val="20"/>
              </w:rPr>
            </w:pPr>
          </w:p>
          <w:p w14:paraId="75D42153">
            <w:pPr>
              <w:pStyle w:val="9"/>
              <w:spacing w:line="225" w:lineRule="exact"/>
              <w:ind w:left="144" w:right="226"/>
              <w:jc w:val="both"/>
              <w:rPr>
                <w:rFonts w:ascii="Times New Roman" w:hAnsi="Times New Roman" w:cs="Times New Roman"/>
                <w:b/>
                <w:spacing w:val="-2"/>
                <w:sz w:val="20"/>
                <w:szCs w:val="20"/>
              </w:rPr>
            </w:pPr>
            <w:r>
              <w:rPr>
                <w:rFonts w:ascii="Times New Roman" w:hAnsi="Times New Roman" w:cs="Times New Roman"/>
                <w:b/>
                <w:spacing w:val="-2"/>
                <w:sz w:val="20"/>
                <w:szCs w:val="20"/>
              </w:rPr>
              <w:t>Supplementary</w:t>
            </w:r>
            <w:r>
              <w:rPr>
                <w:rFonts w:ascii="Times New Roman" w:hAnsi="Times New Roman" w:cs="Times New Roman"/>
                <w:b/>
                <w:spacing w:val="11"/>
                <w:sz w:val="20"/>
                <w:szCs w:val="20"/>
              </w:rPr>
              <w:t xml:space="preserve"> </w:t>
            </w:r>
            <w:r>
              <w:rPr>
                <w:rFonts w:ascii="Times New Roman" w:hAnsi="Times New Roman" w:cs="Times New Roman"/>
                <w:b/>
                <w:spacing w:val="-2"/>
                <w:sz w:val="20"/>
                <w:szCs w:val="20"/>
              </w:rPr>
              <w:t>Material(s):</w:t>
            </w:r>
          </w:p>
          <w:p w14:paraId="660F5EAB">
            <w:pPr>
              <w:pStyle w:val="9"/>
              <w:spacing w:line="225" w:lineRule="exact"/>
              <w:ind w:left="144" w:right="226"/>
              <w:jc w:val="both"/>
              <w:rPr>
                <w:rFonts w:ascii="Times New Roman" w:hAnsi="Times New Roman" w:cs="Times New Roman"/>
                <w:b/>
                <w:spacing w:val="-2"/>
                <w:sz w:val="20"/>
                <w:szCs w:val="20"/>
              </w:rPr>
            </w:pPr>
          </w:p>
          <w:p w14:paraId="76AFA726">
            <w:pPr>
              <w:pStyle w:val="8"/>
              <w:spacing w:before="0" w:beforeAutospacing="0" w:after="120" w:afterAutospacing="0"/>
              <w:ind w:left="144" w:right="226"/>
              <w:jc w:val="both"/>
              <w:rPr>
                <w:color w:val="000000"/>
                <w:sz w:val="20"/>
                <w:szCs w:val="20"/>
                <w:lang w:val="en-US"/>
              </w:rPr>
            </w:pPr>
            <w:r>
              <w:rPr>
                <w:color w:val="000000"/>
                <w:sz w:val="20"/>
                <w:szCs w:val="20"/>
                <w:lang w:val="en-US"/>
              </w:rPr>
              <w:t>Abeyratne, R. (2012).</w:t>
            </w:r>
            <w:r>
              <w:rPr>
                <w:rStyle w:val="10"/>
                <w:color w:val="000000"/>
                <w:sz w:val="20"/>
                <w:szCs w:val="20"/>
                <w:lang w:val="en-US"/>
              </w:rPr>
              <w:t> </w:t>
            </w:r>
            <w:r>
              <w:rPr>
                <w:rStyle w:val="5"/>
                <w:color w:val="000000"/>
                <w:sz w:val="20"/>
                <w:szCs w:val="20"/>
                <w:lang w:val="en-US"/>
              </w:rPr>
              <w:t>Aviation security law</w:t>
            </w:r>
            <w:r>
              <w:rPr>
                <w:color w:val="000000"/>
                <w:sz w:val="20"/>
                <w:szCs w:val="20"/>
                <w:lang w:val="en-US"/>
              </w:rPr>
              <w:t>. Springer.</w:t>
            </w:r>
          </w:p>
          <w:p w14:paraId="4BAC65A0">
            <w:pPr>
              <w:pStyle w:val="8"/>
              <w:spacing w:before="0" w:beforeAutospacing="0" w:after="120" w:afterAutospacing="0"/>
              <w:ind w:left="144" w:right="226"/>
              <w:jc w:val="both"/>
              <w:rPr>
                <w:color w:val="000000"/>
                <w:sz w:val="20"/>
                <w:szCs w:val="20"/>
                <w:lang w:val="en-US"/>
              </w:rPr>
            </w:pPr>
            <w:r>
              <w:rPr>
                <w:color w:val="000000"/>
                <w:sz w:val="20"/>
                <w:szCs w:val="20"/>
                <w:lang w:val="en-US"/>
              </w:rPr>
              <w:t>Dempsey, P. S. (2008).</w:t>
            </w:r>
            <w:r>
              <w:rPr>
                <w:rStyle w:val="10"/>
                <w:color w:val="000000"/>
                <w:sz w:val="20"/>
                <w:szCs w:val="20"/>
                <w:lang w:val="en-US"/>
              </w:rPr>
              <w:t> </w:t>
            </w:r>
            <w:r>
              <w:rPr>
                <w:rStyle w:val="5"/>
                <w:color w:val="000000"/>
                <w:sz w:val="20"/>
                <w:szCs w:val="20"/>
                <w:lang w:val="en-US"/>
              </w:rPr>
              <w:t>Public international air law</w:t>
            </w:r>
            <w:r>
              <w:rPr>
                <w:color w:val="000000"/>
                <w:sz w:val="20"/>
                <w:szCs w:val="20"/>
                <w:lang w:val="en-US"/>
              </w:rPr>
              <w:t>. McGill University Centre for Research in Air and Space Law.</w:t>
            </w:r>
          </w:p>
          <w:p w14:paraId="2FC378AD">
            <w:pPr>
              <w:pStyle w:val="8"/>
              <w:spacing w:before="0" w:beforeAutospacing="0" w:after="120" w:afterAutospacing="0"/>
              <w:ind w:left="144" w:right="226"/>
              <w:jc w:val="both"/>
              <w:rPr>
                <w:color w:val="000000"/>
                <w:sz w:val="20"/>
                <w:szCs w:val="20"/>
                <w:lang w:val="en-US"/>
              </w:rPr>
            </w:pPr>
            <w:r>
              <w:rPr>
                <w:color w:val="000000"/>
                <w:sz w:val="20"/>
                <w:szCs w:val="20"/>
                <w:lang w:val="en-US"/>
              </w:rPr>
              <w:t>Haanappel, P. P. C., &amp; Mackaay, E. (2011).</w:t>
            </w:r>
            <w:r>
              <w:rPr>
                <w:rStyle w:val="10"/>
                <w:color w:val="000000"/>
                <w:sz w:val="20"/>
                <w:szCs w:val="20"/>
                <w:lang w:val="en-US"/>
              </w:rPr>
              <w:t> </w:t>
            </w:r>
            <w:r>
              <w:rPr>
                <w:rStyle w:val="5"/>
                <w:color w:val="000000"/>
                <w:sz w:val="20"/>
                <w:szCs w:val="20"/>
                <w:lang w:val="en-US"/>
              </w:rPr>
              <w:t>New international aviation law</w:t>
            </w:r>
            <w:r>
              <w:rPr>
                <w:color w:val="000000"/>
                <w:sz w:val="20"/>
                <w:szCs w:val="20"/>
                <w:lang w:val="en-US"/>
              </w:rPr>
              <w:t>. Kluwer Law International.</w:t>
            </w:r>
          </w:p>
          <w:p w14:paraId="78F95E9C">
            <w:pPr>
              <w:pStyle w:val="8"/>
              <w:spacing w:before="0" w:beforeAutospacing="0" w:after="120" w:afterAutospacing="0"/>
              <w:ind w:left="144" w:right="226"/>
              <w:jc w:val="both"/>
              <w:rPr>
                <w:color w:val="000000"/>
                <w:sz w:val="20"/>
                <w:szCs w:val="20"/>
                <w:lang w:val="en-US"/>
              </w:rPr>
            </w:pPr>
            <w:r>
              <w:rPr>
                <w:color w:val="000000"/>
                <w:sz w:val="20"/>
                <w:szCs w:val="20"/>
                <w:lang w:val="en-US"/>
              </w:rPr>
              <w:t>International Civil Aviation Organization. (1999).</w:t>
            </w:r>
            <w:r>
              <w:rPr>
                <w:rStyle w:val="10"/>
                <w:color w:val="000000"/>
                <w:sz w:val="20"/>
                <w:szCs w:val="20"/>
                <w:lang w:val="en-US"/>
              </w:rPr>
              <w:t> </w:t>
            </w:r>
            <w:r>
              <w:rPr>
                <w:rStyle w:val="5"/>
                <w:color w:val="000000"/>
                <w:sz w:val="20"/>
                <w:szCs w:val="20"/>
                <w:lang w:val="en-US"/>
              </w:rPr>
              <w:t>Convention for the unification of certain rules for international carriage by air (Montreal Convention)</w:t>
            </w:r>
            <w:r>
              <w:rPr>
                <w:color w:val="000000"/>
                <w:sz w:val="20"/>
                <w:szCs w:val="20"/>
                <w:lang w:val="en-US"/>
              </w:rPr>
              <w:t>. ICAO.</w:t>
            </w:r>
          </w:p>
          <w:p w14:paraId="11AF77BE">
            <w:pPr>
              <w:pStyle w:val="8"/>
              <w:spacing w:before="0" w:beforeAutospacing="0" w:after="120" w:afterAutospacing="0"/>
              <w:ind w:left="144" w:right="226"/>
              <w:jc w:val="both"/>
              <w:rPr>
                <w:color w:val="000000"/>
                <w:sz w:val="20"/>
                <w:szCs w:val="20"/>
                <w:lang w:val="en-US"/>
              </w:rPr>
            </w:pPr>
            <w:r>
              <w:rPr>
                <w:color w:val="000000"/>
                <w:sz w:val="20"/>
                <w:szCs w:val="20"/>
                <w:lang w:val="en-US"/>
              </w:rPr>
              <w:t>Milde, M. (2016).</w:t>
            </w:r>
            <w:r>
              <w:rPr>
                <w:rStyle w:val="10"/>
                <w:color w:val="000000"/>
                <w:sz w:val="20"/>
                <w:szCs w:val="20"/>
                <w:lang w:val="en-US"/>
              </w:rPr>
              <w:t> </w:t>
            </w:r>
            <w:r>
              <w:rPr>
                <w:rStyle w:val="5"/>
                <w:color w:val="000000"/>
                <w:sz w:val="20"/>
                <w:szCs w:val="20"/>
                <w:lang w:val="en-US"/>
              </w:rPr>
              <w:t>International air law and ICAO</w:t>
            </w:r>
            <w:r>
              <w:rPr>
                <w:rStyle w:val="10"/>
                <w:color w:val="000000"/>
                <w:sz w:val="20"/>
                <w:szCs w:val="20"/>
                <w:lang w:val="en-US"/>
              </w:rPr>
              <w:t> </w:t>
            </w:r>
            <w:r>
              <w:rPr>
                <w:color w:val="000000"/>
                <w:sz w:val="20"/>
                <w:szCs w:val="20"/>
                <w:lang w:val="en-US"/>
              </w:rPr>
              <w:t>(3rd ed.). Eleven International Publishing.</w:t>
            </w:r>
          </w:p>
          <w:p w14:paraId="13916B40">
            <w:pPr>
              <w:pStyle w:val="8"/>
              <w:spacing w:before="0" w:beforeAutospacing="0" w:after="120" w:afterAutospacing="0"/>
              <w:ind w:left="144" w:right="226"/>
              <w:jc w:val="both"/>
              <w:rPr>
                <w:color w:val="000000"/>
                <w:sz w:val="20"/>
                <w:szCs w:val="20"/>
                <w:lang w:val="en-US"/>
              </w:rPr>
            </w:pPr>
            <w:r>
              <w:rPr>
                <w:color w:val="000000"/>
                <w:sz w:val="20"/>
                <w:szCs w:val="20"/>
                <w:lang w:val="en-US"/>
              </w:rPr>
              <w:t>Shawcross, C. N., &amp; Beaumont, K. M. (2016).</w:t>
            </w:r>
            <w:r>
              <w:rPr>
                <w:rStyle w:val="10"/>
                <w:color w:val="000000"/>
                <w:sz w:val="20"/>
                <w:szCs w:val="20"/>
                <w:lang w:val="en-US"/>
              </w:rPr>
              <w:t> </w:t>
            </w:r>
            <w:r>
              <w:rPr>
                <w:rStyle w:val="5"/>
                <w:color w:val="000000"/>
                <w:sz w:val="20"/>
                <w:szCs w:val="20"/>
                <w:lang w:val="en-US"/>
              </w:rPr>
              <w:t>Shawcross and Beaumont: Air law</w:t>
            </w:r>
            <w:r>
              <w:rPr>
                <w:rStyle w:val="10"/>
                <w:color w:val="000000"/>
                <w:sz w:val="20"/>
                <w:szCs w:val="20"/>
                <w:lang w:val="en-US"/>
              </w:rPr>
              <w:t> </w:t>
            </w:r>
            <w:r>
              <w:rPr>
                <w:color w:val="000000"/>
                <w:sz w:val="20"/>
                <w:szCs w:val="20"/>
                <w:lang w:val="en-US"/>
              </w:rPr>
              <w:t>(5th ed.). LexisNexis.</w:t>
            </w:r>
          </w:p>
          <w:p w14:paraId="4CCC24B5">
            <w:pPr>
              <w:pStyle w:val="8"/>
              <w:spacing w:before="0" w:beforeAutospacing="0" w:after="120" w:afterAutospacing="0"/>
              <w:ind w:left="144" w:right="226"/>
              <w:jc w:val="both"/>
              <w:rPr>
                <w:color w:val="000000"/>
                <w:sz w:val="20"/>
                <w:szCs w:val="20"/>
                <w:lang w:val="en-US"/>
              </w:rPr>
            </w:pPr>
            <w:r>
              <w:rPr>
                <w:color w:val="000000"/>
                <w:sz w:val="20"/>
                <w:szCs w:val="20"/>
                <w:lang w:val="en-US"/>
              </w:rPr>
              <w:t>Sönmez, A. S. (2020).</w:t>
            </w:r>
            <w:r>
              <w:rPr>
                <w:rStyle w:val="10"/>
                <w:color w:val="000000"/>
                <w:sz w:val="20"/>
                <w:szCs w:val="20"/>
                <w:lang w:val="en-US"/>
              </w:rPr>
              <w:t> </w:t>
            </w:r>
            <w:r>
              <w:rPr>
                <w:rStyle w:val="5"/>
                <w:color w:val="000000"/>
                <w:sz w:val="20"/>
                <w:szCs w:val="20"/>
                <w:lang w:val="en-US"/>
              </w:rPr>
              <w:t>Türk sivil havacılık hukuku</w:t>
            </w:r>
            <w:r>
              <w:rPr>
                <w:color w:val="000000"/>
                <w:sz w:val="20"/>
                <w:szCs w:val="20"/>
                <w:lang w:val="en-US"/>
              </w:rPr>
              <w:t>. Seçkin Yayıncılık.</w:t>
            </w:r>
          </w:p>
          <w:p w14:paraId="4EA8FEE8">
            <w:pPr>
              <w:pStyle w:val="8"/>
              <w:spacing w:before="0" w:beforeAutospacing="0" w:after="120" w:afterAutospacing="0"/>
              <w:ind w:left="144" w:right="226"/>
              <w:jc w:val="both"/>
              <w:rPr>
                <w:color w:val="000000"/>
                <w:sz w:val="20"/>
                <w:szCs w:val="20"/>
                <w:lang w:val="en-US"/>
              </w:rPr>
            </w:pPr>
            <w:r>
              <w:rPr>
                <w:color w:val="000000"/>
                <w:sz w:val="20"/>
                <w:szCs w:val="20"/>
                <w:lang w:val="en-US"/>
              </w:rPr>
              <w:t>Tokio Convention. (1963).</w:t>
            </w:r>
            <w:r>
              <w:rPr>
                <w:rStyle w:val="10"/>
                <w:color w:val="000000"/>
                <w:sz w:val="20"/>
                <w:szCs w:val="20"/>
                <w:lang w:val="en-US"/>
              </w:rPr>
              <w:t> </w:t>
            </w:r>
            <w:r>
              <w:rPr>
                <w:rStyle w:val="5"/>
                <w:color w:val="000000"/>
                <w:sz w:val="20"/>
                <w:szCs w:val="20"/>
                <w:lang w:val="en-US"/>
              </w:rPr>
              <w:t>Convention on offences and certain other acts committed on board aircraft</w:t>
            </w:r>
            <w:r>
              <w:rPr>
                <w:color w:val="000000"/>
                <w:sz w:val="20"/>
                <w:szCs w:val="20"/>
                <w:lang w:val="en-US"/>
              </w:rPr>
              <w:t>. United Nations Treaty Series.</w:t>
            </w:r>
          </w:p>
          <w:p w14:paraId="3CDFCD85">
            <w:pPr>
              <w:pStyle w:val="8"/>
              <w:spacing w:before="120" w:beforeAutospacing="0" w:after="0" w:afterAutospacing="0"/>
              <w:ind w:left="146" w:right="366"/>
              <w:jc w:val="both"/>
              <w:rPr>
                <w:color w:val="000000"/>
                <w:sz w:val="20"/>
                <w:szCs w:val="20"/>
                <w:lang w:val="en-US"/>
              </w:rPr>
            </w:pPr>
            <w:r>
              <w:rPr>
                <w:color w:val="000000"/>
                <w:sz w:val="20"/>
                <w:szCs w:val="20"/>
                <w:lang w:val="en-US"/>
              </w:rPr>
              <w:t>Warsaw Convention. (1929).</w:t>
            </w:r>
            <w:r>
              <w:rPr>
                <w:rStyle w:val="10"/>
                <w:color w:val="000000"/>
                <w:sz w:val="20"/>
                <w:szCs w:val="20"/>
                <w:lang w:val="en-US"/>
              </w:rPr>
              <w:t> </w:t>
            </w:r>
            <w:r>
              <w:rPr>
                <w:rStyle w:val="5"/>
                <w:color w:val="000000"/>
                <w:sz w:val="20"/>
                <w:szCs w:val="20"/>
                <w:lang w:val="en-US"/>
              </w:rPr>
              <w:t>Convention for the unification of certain rules relating to international carriage by air</w:t>
            </w:r>
            <w:r>
              <w:rPr>
                <w:color w:val="000000"/>
                <w:sz w:val="20"/>
                <w:szCs w:val="20"/>
                <w:lang w:val="en-US"/>
              </w:rPr>
              <w:t>. League of Nations Treaty Series.</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30%</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50%</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7969"/>
    <w:multiLevelType w:val="multilevel"/>
    <w:tmpl w:val="5FCD7969"/>
    <w:lvl w:ilvl="0" w:tentative="0">
      <w:start w:val="0"/>
      <w:numFmt w:val="bullet"/>
      <w:lvlText w:val=""/>
      <w:lvlJc w:val="left"/>
      <w:pPr>
        <w:ind w:left="576" w:hanging="428"/>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453" w:hanging="428"/>
      </w:pPr>
      <w:rPr>
        <w:rFonts w:hint="default"/>
        <w:lang w:val="en-US" w:eastAsia="en-US" w:bidi="ar-SA"/>
      </w:rPr>
    </w:lvl>
    <w:lvl w:ilvl="2" w:tentative="0">
      <w:start w:val="0"/>
      <w:numFmt w:val="bullet"/>
      <w:lvlText w:val="•"/>
      <w:lvlJc w:val="left"/>
      <w:pPr>
        <w:ind w:left="2326" w:hanging="428"/>
      </w:pPr>
      <w:rPr>
        <w:rFonts w:hint="default"/>
        <w:lang w:val="en-US" w:eastAsia="en-US" w:bidi="ar-SA"/>
      </w:rPr>
    </w:lvl>
    <w:lvl w:ilvl="3" w:tentative="0">
      <w:start w:val="0"/>
      <w:numFmt w:val="bullet"/>
      <w:lvlText w:val="•"/>
      <w:lvlJc w:val="left"/>
      <w:pPr>
        <w:ind w:left="3199" w:hanging="428"/>
      </w:pPr>
      <w:rPr>
        <w:rFonts w:hint="default"/>
        <w:lang w:val="en-US" w:eastAsia="en-US" w:bidi="ar-SA"/>
      </w:rPr>
    </w:lvl>
    <w:lvl w:ilvl="4" w:tentative="0">
      <w:start w:val="0"/>
      <w:numFmt w:val="bullet"/>
      <w:lvlText w:val="•"/>
      <w:lvlJc w:val="left"/>
      <w:pPr>
        <w:ind w:left="4072" w:hanging="428"/>
      </w:pPr>
      <w:rPr>
        <w:rFonts w:hint="default"/>
        <w:lang w:val="en-US" w:eastAsia="en-US" w:bidi="ar-SA"/>
      </w:rPr>
    </w:lvl>
    <w:lvl w:ilvl="5" w:tentative="0">
      <w:start w:val="0"/>
      <w:numFmt w:val="bullet"/>
      <w:lvlText w:val="•"/>
      <w:lvlJc w:val="left"/>
      <w:pPr>
        <w:ind w:left="4945" w:hanging="428"/>
      </w:pPr>
      <w:rPr>
        <w:rFonts w:hint="default"/>
        <w:lang w:val="en-US" w:eastAsia="en-US" w:bidi="ar-SA"/>
      </w:rPr>
    </w:lvl>
    <w:lvl w:ilvl="6" w:tentative="0">
      <w:start w:val="0"/>
      <w:numFmt w:val="bullet"/>
      <w:lvlText w:val="•"/>
      <w:lvlJc w:val="left"/>
      <w:pPr>
        <w:ind w:left="5818" w:hanging="428"/>
      </w:pPr>
      <w:rPr>
        <w:rFonts w:hint="default"/>
        <w:lang w:val="en-US" w:eastAsia="en-US" w:bidi="ar-SA"/>
      </w:rPr>
    </w:lvl>
    <w:lvl w:ilvl="7" w:tentative="0">
      <w:start w:val="0"/>
      <w:numFmt w:val="bullet"/>
      <w:lvlText w:val="•"/>
      <w:lvlJc w:val="left"/>
      <w:pPr>
        <w:ind w:left="6691" w:hanging="428"/>
      </w:pPr>
      <w:rPr>
        <w:rFonts w:hint="default"/>
        <w:lang w:val="en-US" w:eastAsia="en-US" w:bidi="ar-SA"/>
      </w:rPr>
    </w:lvl>
    <w:lvl w:ilvl="8" w:tentative="0">
      <w:start w:val="0"/>
      <w:numFmt w:val="bullet"/>
      <w:lvlText w:val="•"/>
      <w:lvlJc w:val="left"/>
      <w:pPr>
        <w:ind w:left="756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243484"/>
    <w:rsid w:val="00261A67"/>
    <w:rsid w:val="00273E11"/>
    <w:rsid w:val="002F104C"/>
    <w:rsid w:val="003223E5"/>
    <w:rsid w:val="00373E2E"/>
    <w:rsid w:val="0045510C"/>
    <w:rsid w:val="004A4D07"/>
    <w:rsid w:val="004C0040"/>
    <w:rsid w:val="00563DCD"/>
    <w:rsid w:val="0064498D"/>
    <w:rsid w:val="00650B07"/>
    <w:rsid w:val="00677E78"/>
    <w:rsid w:val="00770839"/>
    <w:rsid w:val="00826A04"/>
    <w:rsid w:val="00866189"/>
    <w:rsid w:val="009B6CC5"/>
    <w:rsid w:val="00A07035"/>
    <w:rsid w:val="00B03E09"/>
    <w:rsid w:val="00B81281"/>
    <w:rsid w:val="00B8520A"/>
    <w:rsid w:val="00B93937"/>
    <w:rsid w:val="00C33E8A"/>
    <w:rsid w:val="00C528D5"/>
    <w:rsid w:val="00C90D48"/>
    <w:rsid w:val="00E829CB"/>
    <w:rsid w:val="00E92121"/>
    <w:rsid w:val="00F85B5B"/>
    <w:rsid w:val="00FC5B4E"/>
    <w:rsid w:val="4B9377C2"/>
    <w:rsid w:val="664B37F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qFormat/>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qFormat/>
    <w:uiPriority w:val="0"/>
  </w:style>
  <w:style w:type="character" w:customStyle="1" w:styleId="11">
    <w:name w:val="HTML Preformatted Char"/>
    <w:basedOn w:val="2"/>
    <w:link w:val="6"/>
    <w:semiHidden/>
    <w:qFormat/>
    <w:uiPriority w:val="99"/>
    <w:rPr>
      <w:rFonts w:ascii="Courier New" w:hAnsi="Courier New" w:eastAsia="Times New Roman" w:cs="Courier New"/>
      <w:sz w:val="20"/>
      <w:szCs w:val="20"/>
      <w:lang w:val="zh-CN"/>
    </w:rPr>
  </w:style>
  <w:style w:type="character" w:customStyle="1" w:styleId="12">
    <w:name w:val="y2iqfc"/>
    <w:basedOn w:val="2"/>
    <w:uiPriority w:val="0"/>
  </w:style>
  <w:style w:type="table" w:customStyle="1" w:styleId="13">
    <w:name w:val="TableNormal"/>
    <w:qFormat/>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qFormat/>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3</Pages>
  <Words>965</Words>
  <Characters>5502</Characters>
  <Lines>45</Lines>
  <Paragraphs>12</Paragraphs>
  <TotalTime>66</TotalTime>
  <ScaleCrop>false</ScaleCrop>
  <LinksUpToDate>false</LinksUpToDate>
  <CharactersWithSpaces>6455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2026-05-15T12:38:30Z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8CDB2CF3531E40E18F58CFA16DF10AE7_12</vt:lpwstr>
  </property>
</Properties>
</file>