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00" w:rsidRPr="00472428" w:rsidRDefault="007E7400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2D6D88"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Faculty of Humanities</w:t>
      </w:r>
    </w:p>
    <w:p w:rsidR="002D6D88" w:rsidRPr="00472428" w:rsidRDefault="002F7170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Advanced </w:t>
      </w:r>
      <w:r w:rsidR="002D6D88"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Reading Skills I</w:t>
      </w:r>
    </w:p>
    <w:p w:rsidR="002D6D88" w:rsidRPr="00472428" w:rsidRDefault="002D6D88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:rsidR="007E7400" w:rsidRPr="00472428" w:rsidRDefault="007E7400" w:rsidP="007E740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E7400" w:rsidRPr="00472428" w:rsidTr="007E7400">
        <w:trPr>
          <w:trHeight w:val="305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F71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Advanced 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Reading Skills 1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F7170" w:rsidP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ELIT123</w:t>
            </w:r>
            <w:bookmarkStart w:id="0" w:name="_GoBack"/>
            <w:bookmarkEnd w:id="0"/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41387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Freshmen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4724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4724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Text analysis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4724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8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E7400" w:rsidRPr="00472428" w:rsidTr="007E7400">
        <w:trPr>
          <w:trHeight w:val="937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D81A32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equip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previewing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predicting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guessing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main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patterns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skimming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inferences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deductions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presents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meaning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7400" w:rsidRPr="00472428" w:rsidTr="007E7400">
        <w:trPr>
          <w:trHeight w:val="274"/>
        </w:trPr>
        <w:tc>
          <w:tcPr>
            <w:tcW w:w="82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trHeight w:val="285"/>
        </w:trPr>
        <w:tc>
          <w:tcPr>
            <w:tcW w:w="82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7E7400" w:rsidRPr="00472428" w:rsidTr="007E7400">
        <w:trPr>
          <w:trHeight w:val="36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Scan and skim texts to find information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5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Preview texts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Guess  word</w:t>
            </w:r>
            <w:proofErr w:type="gramEnd"/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Find topics of texts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Relate content to a topic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Identify the pattern of organization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Skim for the main point of view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Understand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paragraphs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read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critically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6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Lab.Worak</w:t>
            </w:r>
            <w:proofErr w:type="spellEnd"/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E7400" w:rsidRPr="00472428" w:rsidTr="007E7400">
        <w:trPr>
          <w:trHeight w:val="314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E7400" w:rsidRPr="00472428" w:rsidTr="007E7400">
        <w:trPr>
          <w:trHeight w:val="286"/>
        </w:trPr>
        <w:tc>
          <w:tcPr>
            <w:tcW w:w="87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E7400" w:rsidRPr="00472428" w:rsidTr="007E7400">
        <w:trPr>
          <w:trHeight w:val="28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4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4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  <w:lang w:val="en-GB"/>
              </w:rPr>
            </w:pPr>
            <w:r w:rsidRPr="00472428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4</w:t>
            </w:r>
          </w:p>
        </w:tc>
      </w:tr>
      <w:tr w:rsidR="007E7400" w:rsidRPr="00472428" w:rsidTr="007E7400">
        <w:trPr>
          <w:trHeight w:val="4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8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4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3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35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make efficient and appropriate behavior management decisions in the classroom;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4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36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472428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472428">
              <w:rPr>
                <w:sz w:val="20"/>
                <w:szCs w:val="20"/>
                <w:shd w:val="clear" w:color="auto" w:fill="FFFFFF"/>
              </w:rPr>
              <w:t xml:space="preserve">Be able to apply the knowledge and skills they have gained during their </w:t>
            </w:r>
            <w:proofErr w:type="gramStart"/>
            <w:r w:rsidRPr="00472428">
              <w:rPr>
                <w:sz w:val="20"/>
                <w:szCs w:val="20"/>
                <w:shd w:val="clear" w:color="auto" w:fill="FFFFFF"/>
              </w:rPr>
              <w:t>four year</w:t>
            </w:r>
            <w:proofErr w:type="gramEnd"/>
            <w:r w:rsidRPr="00472428">
              <w:rPr>
                <w:sz w:val="20"/>
                <w:szCs w:val="20"/>
                <w:shd w:val="clear" w:color="auto" w:fill="FFFFFF"/>
              </w:rPr>
              <w:t xml:space="preserve"> studies at GAU to their teaching career.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86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9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6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                                   Planning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6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b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1A:</w:t>
            </w: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Home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7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1: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Home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Learning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Learning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6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3: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  <w:proofErr w:type="spellEnd"/>
          </w:p>
          <w:p w:rsidR="007E7400" w:rsidRPr="00472428" w:rsidRDefault="007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Reading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3: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Reading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Language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Mid-term </w:t>
            </w:r>
          </w:p>
        </w:tc>
      </w:tr>
      <w:tr w:rsidR="007E7400" w:rsidRPr="00472428" w:rsidTr="007E7400">
        <w:trPr>
          <w:gridAfter w:val="1"/>
          <w:wAfter w:w="352" w:type="dxa"/>
          <w:trHeight w:val="327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4: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Blind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Whiz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4: 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Blind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Whiz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5: Pop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Group’s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Folk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stirs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Main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5: Pop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Group’s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Folk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stirs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</w:p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6: How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Speech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Examples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powerful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7: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Private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Life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Supporting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main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Using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context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guess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meanings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E7400" w:rsidRPr="00472428" w:rsidTr="007E7400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Select Reading,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Linda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Erik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Gundersen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Oxford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Supplementary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7E7400" w:rsidRPr="00472428" w:rsidRDefault="007E740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Graded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Readers,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7400" w:rsidRPr="00472428" w:rsidTr="007E7400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4724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47242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65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472428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BE7CFC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E7C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4724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BE7CFC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BE7C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4724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0105B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499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4724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4724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24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proofErr w:type="spellStart"/>
            <w:r w:rsidRPr="004724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Examination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4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 w:rsidP="00BE7CFC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7E7400" w:rsidRPr="00472428" w:rsidTr="007E740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150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E7400" w:rsidRPr="00472428" w:rsidTr="007E740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 = 2)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7E7400" w:rsidRPr="00472428" w:rsidRDefault="007E7400" w:rsidP="007E7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E7400" w:rsidRPr="00472428" w:rsidRDefault="007E7400" w:rsidP="007E7400">
      <w:pPr>
        <w:rPr>
          <w:rFonts w:ascii="Times New Roman" w:hAnsi="Times New Roman" w:cs="Times New Roman"/>
          <w:b/>
          <w:sz w:val="20"/>
          <w:szCs w:val="20"/>
        </w:rPr>
      </w:pPr>
    </w:p>
    <w:p w:rsidR="004A0E84" w:rsidRPr="00472428" w:rsidRDefault="002F7170">
      <w:pPr>
        <w:rPr>
          <w:rFonts w:ascii="Times New Roman" w:hAnsi="Times New Roman" w:cs="Times New Roman"/>
          <w:sz w:val="20"/>
          <w:szCs w:val="20"/>
        </w:rPr>
      </w:pPr>
    </w:p>
    <w:sectPr w:rsidR="004A0E84" w:rsidRPr="0047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105B9"/>
    <w:rsid w:val="002D6D88"/>
    <w:rsid w:val="002F7170"/>
    <w:rsid w:val="00332E2A"/>
    <w:rsid w:val="0041387C"/>
    <w:rsid w:val="00472428"/>
    <w:rsid w:val="00797A43"/>
    <w:rsid w:val="007E7400"/>
    <w:rsid w:val="009C0BA8"/>
    <w:rsid w:val="00B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DE52"/>
  <w15:docId w15:val="{152301A1-EE76-4E0B-803E-3CE8811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0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740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E7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Toochi Priscilia Farinola</dc:creator>
  <cp:keywords/>
  <dc:description/>
  <cp:lastModifiedBy>HUMA</cp:lastModifiedBy>
  <cp:revision>8</cp:revision>
  <dcterms:created xsi:type="dcterms:W3CDTF">2023-04-03T15:16:00Z</dcterms:created>
  <dcterms:modified xsi:type="dcterms:W3CDTF">2023-08-02T16:01:00Z</dcterms:modified>
</cp:coreProperties>
</file>