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27"/>
        <w:gridCol w:w="561"/>
        <w:gridCol w:w="1437"/>
        <w:gridCol w:w="942"/>
        <w:gridCol w:w="556"/>
        <w:gridCol w:w="697"/>
        <w:gridCol w:w="1127"/>
        <w:gridCol w:w="985"/>
        <w:gridCol w:w="151"/>
        <w:gridCol w:w="302"/>
        <w:gridCol w:w="426"/>
        <w:gridCol w:w="895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 ve Araştırma Yöntemleri II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6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680A7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D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TPSY101, TPSY102, TPSY211, TPSY218 ve TPSY284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ders, Psikoloji ve diğer sosyal davranış bilimlerinde sıklıkla kullanılan istatistiksel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analizlerin yoğun bir şekilde incelenmesi için tasarlanmıştır. Konular, Faktöriyel ANOVA,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Hipotez Testi, Tekrarlanan Ölçüler, Çoklu Regresyon, Eğilim Analizi, Parametrik Olmayan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İşlemler ve Genel Lineer Model (GLM) içerir. Öğrenciler çeşitli analitik felsefelere maruz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kalacaklardır. Buna ek olarak, ders bilgisayarla yoğun olacak (SPSS kullanılarak). Bu dersin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ana hedefleri; (a) Öğrenciyi ileri istatistiksel tekniklerle tanıştırmak, (b) öğrencileri teknikler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konusunda yeterli hale getirmek, (c) öğrencilere, problemler için uygun istatistiksel teknikler</w:t>
            </w:r>
          </w:p>
          <w:p w:rsidR="00680A79" w:rsidRPr="00680A79" w:rsidRDefault="00680A79" w:rsidP="00680A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hakkında "düşünmek" için uzmanlık kazandırmak Akademik ortam içinde ve dışında</w:t>
            </w:r>
          </w:p>
          <w:p w:rsidR="00EA48CA" w:rsidRPr="00766527" w:rsidRDefault="00680A79" w:rsidP="006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karşılaşacak ve (d) öğrenciye farklı analitik stratejileri ve felsefeleri gösterecektir.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673D5A" w:rsidTr="005255C2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before="49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6945" w:type="dxa"/>
            <w:gridSpan w:val="9"/>
          </w:tcPr>
          <w:p w:rsidR="00673D5A" w:rsidRPr="00673D5A" w:rsidRDefault="00680A79" w:rsidP="00680A79">
            <w:pPr>
              <w:pStyle w:val="TableParagraph"/>
              <w:spacing w:line="274" w:lineRule="exact"/>
              <w:ind w:left="105" w:right="403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Bir popülasyon ortalaması, varyans ve / veya nüfus oranı hakkında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hipotezleri formüle edin ve test edin.</w:t>
            </w:r>
          </w:p>
        </w:tc>
        <w:tc>
          <w:tcPr>
            <w:tcW w:w="1696" w:type="dxa"/>
            <w:gridSpan w:val="4"/>
          </w:tcPr>
          <w:p w:rsidR="00673D5A" w:rsidRPr="00673D5A" w:rsidRDefault="00673D5A" w:rsidP="00673D5A">
            <w:pPr>
              <w:pStyle w:val="TableParagraph"/>
              <w:spacing w:before="111"/>
              <w:ind w:left="546" w:right="531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sz w:val="24"/>
              </w:rPr>
              <w:t>1,2</w:t>
            </w:r>
            <w:r w:rsidR="00680A79">
              <w:rPr>
                <w:rFonts w:ascii="Times New Roman" w:hAnsi="Times New Roman" w:cs="Times New Roman"/>
                <w:sz w:val="24"/>
              </w:rPr>
              <w:t>,4</w:t>
            </w:r>
          </w:p>
        </w:tc>
      </w:tr>
      <w:tr w:rsidR="00673D5A" w:rsidTr="005255C2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6945" w:type="dxa"/>
            <w:gridSpan w:val="9"/>
          </w:tcPr>
          <w:p w:rsidR="00673D5A" w:rsidRPr="00673D5A" w:rsidRDefault="00680A79" w:rsidP="00673D5A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Hipotez testi yaparken mümkün olan hataların çeşitlerini anlayın.</w:t>
            </w:r>
          </w:p>
        </w:tc>
        <w:tc>
          <w:tcPr>
            <w:tcW w:w="1696" w:type="dxa"/>
            <w:gridSpan w:val="4"/>
          </w:tcPr>
          <w:p w:rsidR="00673D5A" w:rsidRPr="00673D5A" w:rsidRDefault="00680A79" w:rsidP="00673D5A">
            <w:pPr>
              <w:pStyle w:val="TableParagraph"/>
              <w:spacing w:before="49"/>
              <w:ind w:left="4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1,4,5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before="188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6945" w:type="dxa"/>
            <w:gridSpan w:val="9"/>
          </w:tcPr>
          <w:p w:rsidR="00673D5A" w:rsidRPr="00673D5A" w:rsidRDefault="00680A79" w:rsidP="00680A79">
            <w:pPr>
              <w:pStyle w:val="TableParagraph"/>
              <w:spacing w:line="237" w:lineRule="auto"/>
              <w:ind w:left="105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Kovaryans ve korelasyonu iki değişken arasındaki ilişkinin ölçümleri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olarak hesaplayabilir ve yorumlayabilir.</w:t>
            </w:r>
          </w:p>
        </w:tc>
        <w:tc>
          <w:tcPr>
            <w:tcW w:w="1696" w:type="dxa"/>
            <w:gridSpan w:val="4"/>
          </w:tcPr>
          <w:p w:rsidR="00673D5A" w:rsidRPr="00673D5A" w:rsidRDefault="00673D5A" w:rsidP="00673D5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673D5A" w:rsidRPr="00673D5A" w:rsidRDefault="00680A79" w:rsidP="00673D5A">
            <w:pPr>
              <w:pStyle w:val="TableParagraph"/>
              <w:ind w:left="546" w:right="5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1,2,5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6945" w:type="dxa"/>
            <w:gridSpan w:val="9"/>
          </w:tcPr>
          <w:p w:rsidR="00673D5A" w:rsidRPr="00673D5A" w:rsidRDefault="00680A79" w:rsidP="00680A79">
            <w:pPr>
              <w:pStyle w:val="TableParagraph"/>
              <w:spacing w:before="73"/>
              <w:ind w:left="167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İki değişkenin nasıl ilişkili olduğunu matematiksel olarak tahmin eden bir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denklem geliştirmek için regresyon analizinin nasıl kullanılabileceğini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anlayın.</w:t>
            </w:r>
          </w:p>
        </w:tc>
        <w:tc>
          <w:tcPr>
            <w:tcW w:w="1696" w:type="dxa"/>
            <w:gridSpan w:val="4"/>
          </w:tcPr>
          <w:p w:rsidR="00673D5A" w:rsidRPr="00673D5A" w:rsidRDefault="00680A79" w:rsidP="00673D5A">
            <w:pPr>
              <w:pStyle w:val="TableParagraph"/>
              <w:spacing w:before="54"/>
              <w:ind w:left="546" w:right="5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before="183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6945" w:type="dxa"/>
            <w:gridSpan w:val="9"/>
          </w:tcPr>
          <w:p w:rsidR="00673D5A" w:rsidRPr="00673D5A" w:rsidRDefault="00680A79" w:rsidP="00680A79">
            <w:pPr>
              <w:pStyle w:val="TableParagraph"/>
              <w:spacing w:line="237" w:lineRule="auto"/>
              <w:ind w:left="105" w:right="403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Regresyon modeli, regresyon denklemi ve tahmini regresyon denklemi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arasındaki farkları anlayın.</w:t>
            </w:r>
          </w:p>
        </w:tc>
        <w:tc>
          <w:tcPr>
            <w:tcW w:w="1696" w:type="dxa"/>
            <w:gridSpan w:val="4"/>
          </w:tcPr>
          <w:p w:rsidR="00673D5A" w:rsidRPr="00673D5A" w:rsidRDefault="00673D5A" w:rsidP="00673D5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673D5A" w:rsidRPr="00673D5A" w:rsidRDefault="00680A79" w:rsidP="00673D5A">
            <w:pPr>
              <w:pStyle w:val="TableParagraph"/>
              <w:ind w:left="4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1,2,5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6945" w:type="dxa"/>
            <w:gridSpan w:val="9"/>
          </w:tcPr>
          <w:p w:rsidR="00680A79" w:rsidRPr="00680A79" w:rsidRDefault="00680A79" w:rsidP="00680A79">
            <w:pPr>
              <w:pStyle w:val="TableParagraph"/>
              <w:spacing w:before="73"/>
              <w:ind w:left="167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Çoklu regresyon denklemini tahmin edebilme, Bağımsız değişkenleri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önem derecesine göre test edebilme ve katsayıları yorumlayabilme 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Regresyon varsayımlarının geçerliliği konusunda bir karar vermek için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A79">
              <w:rPr>
                <w:rFonts w:ascii="Times New Roman" w:hAnsi="Times New Roman" w:cs="Times New Roman"/>
                <w:sz w:val="24"/>
              </w:rPr>
              <w:t>kalıntı çizgilerin nasıl kullanılacağını öğrenme, aykırı değerleri tanımlama</w:t>
            </w:r>
          </w:p>
          <w:p w:rsidR="00673D5A" w:rsidRPr="00673D5A" w:rsidRDefault="00680A79" w:rsidP="00680A79">
            <w:pPr>
              <w:pStyle w:val="TableParagraph"/>
              <w:spacing w:before="73"/>
              <w:ind w:left="167"/>
              <w:rPr>
                <w:rFonts w:ascii="Times New Roman" w:hAnsi="Times New Roman" w:cs="Times New Roman"/>
                <w:sz w:val="24"/>
              </w:rPr>
            </w:pPr>
            <w:r w:rsidRPr="00680A79">
              <w:rPr>
                <w:rFonts w:ascii="Times New Roman" w:hAnsi="Times New Roman" w:cs="Times New Roman"/>
                <w:sz w:val="24"/>
              </w:rPr>
              <w:t>ve etkili gözlemleri tanımlama</w:t>
            </w:r>
          </w:p>
        </w:tc>
        <w:tc>
          <w:tcPr>
            <w:tcW w:w="1696" w:type="dxa"/>
            <w:gridSpan w:val="4"/>
          </w:tcPr>
          <w:p w:rsidR="00673D5A" w:rsidRPr="00673D5A" w:rsidRDefault="00ED54B9" w:rsidP="00673D5A">
            <w:pPr>
              <w:pStyle w:val="TableParagraph"/>
              <w:spacing w:before="54"/>
              <w:ind w:left="4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1,2,4,5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D54B9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Psikolojinin çeşitli alanlarını 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farklılaştırıp çalışabilme becerisini elde etmek</w:t>
            </w: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C2B51" w:rsidRPr="00EC2B51" w:rsidRDefault="005D7C67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673D5A" w:rsidRPr="0013159D" w:rsidRDefault="00673D5A" w:rsidP="006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45"/>
              <w:ind w:left="12"/>
              <w:jc w:val="center"/>
              <w:rPr>
                <w:rFonts w:ascii="Times New Roman" w:hAnsi="Times New Roman" w:cs="Times New Roman"/>
                <w:w w:val="99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07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07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54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50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50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07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673D5A" w:rsidRPr="00566C35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212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Hipotez Dersleri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ED54B9">
            <w:pPr>
              <w:pStyle w:val="TableParagraph"/>
              <w:spacing w:line="274" w:lineRule="exact"/>
              <w:ind w:righ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ile Mukayese Bulguları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ED54B9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Varyansları İçindeki Karşılaştırmalar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ED54B9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Oranlarla Mukayese Yapan Karşılaştırmalar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ED54B9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İlişkilendirme / Korelasyon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Regresyon Analizi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ED54B9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Chi-Kare Testleri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One-way Variyans Analizi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Two-way Variyans Analizi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Parametrik istatistikler, Wilcoxon rank testi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before="2" w:line="26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Kruskal Wallis Testi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74" w:lineRule="exact"/>
              <w:ind w:left="109" w:right="7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Spearman Rank Korelasyon Katsayısı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ED54B9" w:rsidP="00673D5A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Tekrar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71110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ED54B9" w:rsidRDefault="00566C35" w:rsidP="00ED54B9">
            <w:pPr>
              <w:pStyle w:val="TableParagraph"/>
              <w:spacing w:before="89" w:line="242" w:lineRule="auto"/>
              <w:ind w:right="49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Kitabı:</w:t>
            </w:r>
            <w:r w:rsidR="00A50AF4">
              <w:t xml:space="preserve"> </w:t>
            </w:r>
            <w:r w:rsidR="00ED54B9">
              <w:t>Jones, S. (2010). Statistics in Psychology. Explanations Without Equations.</w:t>
            </w:r>
          </w:p>
          <w:p w:rsidR="00ED54B9" w:rsidRDefault="00ED54B9" w:rsidP="00ED54B9">
            <w:pPr>
              <w:pStyle w:val="TableParagraph"/>
              <w:spacing w:before="89" w:line="242" w:lineRule="auto"/>
              <w:ind w:right="491"/>
            </w:pPr>
            <w:r>
              <w:t>Palgrave.</w:t>
            </w:r>
          </w:p>
          <w:p w:rsidR="00ED54B9" w:rsidRDefault="00ED54B9" w:rsidP="00ED54B9">
            <w:pPr>
              <w:pStyle w:val="TableParagraph"/>
              <w:spacing w:before="89" w:line="242" w:lineRule="auto"/>
              <w:ind w:right="491"/>
            </w:pPr>
            <w:r>
              <w:t>Pagano, R. R., (2007). Understanding Statistics in the Behavioral Sciences, 8th Ed. Thomson</w:t>
            </w:r>
          </w:p>
          <w:p w:rsidR="00ED54B9" w:rsidRDefault="00ED54B9" w:rsidP="00ED54B9">
            <w:pPr>
              <w:pStyle w:val="TableParagraph"/>
              <w:spacing w:before="89" w:line="242" w:lineRule="auto"/>
              <w:ind w:right="491"/>
            </w:pPr>
            <w:r>
              <w:t>Wadsworth.</w:t>
            </w:r>
          </w:p>
          <w:p w:rsidR="00673D5A" w:rsidRDefault="00ED54B9" w:rsidP="00ED54B9">
            <w:pPr>
              <w:pStyle w:val="TableParagraph"/>
              <w:spacing w:before="89" w:line="242" w:lineRule="auto"/>
              <w:ind w:right="491"/>
            </w:pPr>
            <w:r>
              <w:lastRenderedPageBreak/>
              <w:t>SPSS Inc. (1988). SPSS-X user’s guide (3rd ed.). Chicago: SPSS</w:t>
            </w:r>
          </w:p>
          <w:p w:rsidR="00566C35" w:rsidRDefault="00566C35" w:rsidP="00566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566C35" w:rsidTr="00116690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Değerlendirme</w:t>
            </w: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AA573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C35"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Default="007561F0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554" w:type="dxa"/>
            <w:gridSpan w:val="3"/>
          </w:tcPr>
          <w:p w:rsidR="00566C3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gridSpan w:val="3"/>
          </w:tcPr>
          <w:p w:rsidR="00566C3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66C3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66C3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566C3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056B2"/>
    <w:rsid w:val="0013159D"/>
    <w:rsid w:val="002B0CB4"/>
    <w:rsid w:val="003F7AB1"/>
    <w:rsid w:val="005255C2"/>
    <w:rsid w:val="00562EF4"/>
    <w:rsid w:val="00566C35"/>
    <w:rsid w:val="00583FE1"/>
    <w:rsid w:val="005A1E95"/>
    <w:rsid w:val="005D7C67"/>
    <w:rsid w:val="00673D5A"/>
    <w:rsid w:val="00680A79"/>
    <w:rsid w:val="007561F0"/>
    <w:rsid w:val="00766527"/>
    <w:rsid w:val="009A4233"/>
    <w:rsid w:val="009B49C8"/>
    <w:rsid w:val="00A50AF4"/>
    <w:rsid w:val="00BD0204"/>
    <w:rsid w:val="00C33C33"/>
    <w:rsid w:val="00C55CC0"/>
    <w:rsid w:val="00CD31FB"/>
    <w:rsid w:val="00D20E10"/>
    <w:rsid w:val="00D511C7"/>
    <w:rsid w:val="00DE136B"/>
    <w:rsid w:val="00EA48CA"/>
    <w:rsid w:val="00EC2B51"/>
    <w:rsid w:val="00ED54B9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2023-08-02T10:51:00Z</dcterms:created>
  <dcterms:modified xsi:type="dcterms:W3CDTF">2023-08-02T11:02:00Z</dcterms:modified>
</cp:coreProperties>
</file>