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1E" w:rsidRPr="00A02681" w:rsidRDefault="00D9471E" w:rsidP="00D9471E">
      <w:pPr>
        <w:jc w:val="center"/>
        <w:rPr>
          <w:b/>
          <w:sz w:val="24"/>
          <w:szCs w:val="24"/>
        </w:rPr>
      </w:pPr>
      <w:r w:rsidRPr="00A02681">
        <w:rPr>
          <w:b/>
          <w:sz w:val="24"/>
          <w:szCs w:val="24"/>
        </w:rPr>
        <w:t>GAU, Faculty of Humanities</w:t>
      </w:r>
    </w:p>
    <w:p w:rsidR="00D9471E" w:rsidRPr="00A02681" w:rsidRDefault="00D9471E" w:rsidP="00D9471E">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t>Special Topics in Applied Social Psychology</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Pr>
                <w:sz w:val="24"/>
                <w:szCs w:val="24"/>
              </w:rPr>
              <w:t>PSY  470</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Pr>
                <w:lang w:val="en-GB"/>
              </w:rPr>
              <w:t>Elective</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Pr>
                <w:sz w:val="24"/>
                <w:szCs w:val="24"/>
              </w:rPr>
              <w:t>Fourth</w:t>
            </w:r>
            <w:r w:rsidRPr="00A02681">
              <w:rPr>
                <w:sz w:val="24"/>
                <w:szCs w:val="24"/>
              </w:rPr>
              <w:t xml:space="preserve"> year, Bachelor’s Degree </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3</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6 ECTS</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2</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1</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3</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Pr>
                <w:sz w:val="24"/>
                <w:szCs w:val="24"/>
              </w:rPr>
              <w:t>8</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Face to Face, E-Learning activities</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English</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297814">
              <w:rPr>
                <w:lang w:val="en-GB"/>
              </w:rPr>
              <w:t xml:space="preserve">Completion of </w:t>
            </w:r>
            <w:r>
              <w:rPr>
                <w:lang w:val="en-GB"/>
              </w:rPr>
              <w:t>PSY101, PSY102</w:t>
            </w:r>
          </w:p>
        </w:tc>
      </w:tr>
      <w:tr w:rsidR="00D9471E" w:rsidRPr="00A02681"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 xml:space="preserve">Recommended Optional Programme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D9471E" w:rsidRPr="00A02681" w:rsidRDefault="00D9471E" w:rsidP="005E256B">
            <w:pPr>
              <w:spacing w:line="276" w:lineRule="auto"/>
              <w:rPr>
                <w:rFonts w:eastAsia="Calibri"/>
                <w:sz w:val="24"/>
                <w:szCs w:val="24"/>
              </w:rPr>
            </w:pPr>
            <w:r w:rsidRPr="00A02681">
              <w:rPr>
                <w:sz w:val="24"/>
                <w:szCs w:val="24"/>
              </w:rPr>
              <w:t>None</w:t>
            </w:r>
          </w:p>
        </w:tc>
      </w:tr>
      <w:tr w:rsidR="00D9471E" w:rsidRPr="00A02681" w:rsidTr="005E256B">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D9471E" w:rsidRDefault="00D9471E" w:rsidP="005E256B">
            <w:pPr>
              <w:spacing w:line="276" w:lineRule="auto"/>
              <w:rPr>
                <w:b/>
                <w:sz w:val="24"/>
                <w:szCs w:val="24"/>
              </w:rPr>
            </w:pPr>
            <w:r w:rsidRPr="00A02681">
              <w:rPr>
                <w:b/>
                <w:sz w:val="24"/>
                <w:szCs w:val="24"/>
              </w:rPr>
              <w:t>Objectives of the Course:</w:t>
            </w:r>
          </w:p>
          <w:p w:rsidR="00625BFB" w:rsidRDefault="00625BFB" w:rsidP="00625BFB">
            <w:pPr>
              <w:autoSpaceDE w:val="0"/>
              <w:autoSpaceDN w:val="0"/>
              <w:adjustRightInd w:val="0"/>
              <w:jc w:val="both"/>
            </w:pPr>
            <w:r w:rsidRPr="00E45937">
              <w:t xml:space="preserve">This </w:t>
            </w:r>
            <w:r>
              <w:t>course will provide you with advanced knowledge and understanding of selected topics in social psychology. At the same time, it will be given some alternative and challenging perspectives on these topics and will also apply social psychological theory and research to some contemporary social issues.</w:t>
            </w:r>
          </w:p>
          <w:p w:rsidR="00625BFB" w:rsidRDefault="00625BFB" w:rsidP="00625BFB">
            <w:pPr>
              <w:autoSpaceDE w:val="0"/>
              <w:autoSpaceDN w:val="0"/>
              <w:adjustRightInd w:val="0"/>
              <w:jc w:val="both"/>
            </w:pPr>
          </w:p>
          <w:p w:rsidR="00625BFB" w:rsidRPr="00E45937" w:rsidRDefault="00625BFB" w:rsidP="00625BFB">
            <w:pPr>
              <w:autoSpaceDE w:val="0"/>
              <w:autoSpaceDN w:val="0"/>
              <w:adjustRightInd w:val="0"/>
              <w:jc w:val="both"/>
            </w:pPr>
            <w:r w:rsidRPr="00E45937">
              <w:t>The main objectives of this course are :</w:t>
            </w:r>
          </w:p>
          <w:p w:rsidR="00625BFB" w:rsidRDefault="00625BFB" w:rsidP="00625BFB">
            <w:pPr>
              <w:numPr>
                <w:ilvl w:val="0"/>
                <w:numId w:val="1"/>
              </w:numPr>
            </w:pPr>
            <w:r>
              <w:t>introduce some alternative and challenging perspectives on social psychological phenomena,</w:t>
            </w:r>
          </w:p>
          <w:p w:rsidR="00625BFB" w:rsidRPr="00E45937" w:rsidRDefault="00625BFB" w:rsidP="00625BFB">
            <w:pPr>
              <w:numPr>
                <w:ilvl w:val="0"/>
                <w:numId w:val="1"/>
              </w:numPr>
            </w:pPr>
            <w:r>
              <w:t>consider the application of social psychological theory and research to a range of contemporary social issues.</w:t>
            </w:r>
          </w:p>
          <w:p w:rsidR="00D9471E" w:rsidRPr="00A2748F" w:rsidRDefault="00D9471E" w:rsidP="005E256B">
            <w:pPr>
              <w:pStyle w:val="BodyText"/>
              <w:rPr>
                <w:lang w:val="en-GB"/>
              </w:rPr>
            </w:pPr>
          </w:p>
        </w:tc>
      </w:tr>
      <w:tr w:rsidR="00D9471E" w:rsidRPr="00A02681" w:rsidTr="005E256B">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D9471E" w:rsidRPr="002D28F6" w:rsidRDefault="00D9471E" w:rsidP="005E256B">
            <w:pPr>
              <w:autoSpaceDE w:val="0"/>
              <w:autoSpaceDN w:val="0"/>
              <w:adjustRightInd w:val="0"/>
              <w:jc w:val="both"/>
              <w:rPr>
                <w:rFonts w:eastAsia="Calibri"/>
                <w:sz w:val="24"/>
                <w:szCs w:val="24"/>
              </w:rPr>
            </w:pPr>
            <w:r>
              <w:t>.</w:t>
            </w:r>
          </w:p>
        </w:tc>
      </w:tr>
      <w:tr w:rsidR="00D9471E" w:rsidRPr="00A02681" w:rsidTr="005E256B">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D9471E" w:rsidRPr="00A02681" w:rsidRDefault="00D9471E" w:rsidP="005E256B">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D9471E" w:rsidRPr="00A02681" w:rsidRDefault="00D9471E" w:rsidP="005E256B">
            <w:pPr>
              <w:pStyle w:val="BodyTextIndent"/>
              <w:spacing w:line="276" w:lineRule="auto"/>
              <w:ind w:left="0"/>
              <w:rPr>
                <w:rFonts w:eastAsiaTheme="minorHAnsi"/>
                <w:sz w:val="24"/>
                <w:szCs w:val="24"/>
              </w:rPr>
            </w:pPr>
          </w:p>
        </w:tc>
      </w:tr>
      <w:tr w:rsidR="00D9471E" w:rsidRPr="00A02681" w:rsidTr="005E256B">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rPr>
                <w:rFonts w:eastAsiaTheme="minorHAnsi"/>
                <w:sz w:val="24"/>
                <w:szCs w:val="24"/>
              </w:rPr>
            </w:pPr>
            <w:r w:rsidRPr="00A02681">
              <w:rPr>
                <w:sz w:val="24"/>
                <w:szCs w:val="24"/>
              </w:rPr>
              <w:t>When this course has been complet</w:t>
            </w:r>
            <w:r>
              <w:rPr>
                <w:sz w:val="24"/>
                <w:szCs w:val="24"/>
              </w:rPr>
              <w:t xml:space="preserve">ed the student should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Assessment.</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625BFB" w:rsidRDefault="00625BFB" w:rsidP="00625BFB">
            <w:pPr>
              <w:spacing w:line="384" w:lineRule="atLeast"/>
              <w:rPr>
                <w:color w:val="000000"/>
              </w:rPr>
            </w:pPr>
            <w:r>
              <w:t>Have an understanding of the importance of the situation in social psychology</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1</w:t>
            </w:r>
            <w:r w:rsidRPr="00A02681">
              <w:rPr>
                <w:sz w:val="24"/>
                <w:szCs w:val="24"/>
              </w:rPr>
              <w:t>,3</w:t>
            </w:r>
            <w:r>
              <w:rPr>
                <w:sz w:val="24"/>
                <w:szCs w:val="24"/>
              </w:rPr>
              <w:t>,</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625BFB" w:rsidRDefault="00625BFB" w:rsidP="00625BFB">
            <w:pPr>
              <w:spacing w:line="384" w:lineRule="atLeast"/>
              <w:rPr>
                <w:color w:val="000000"/>
              </w:rPr>
            </w:pPr>
            <w:r>
              <w:t>Be aware of the delicate balance between focusing on the individual and focusing on the situation</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1,2,3</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625BFB" w:rsidRDefault="00625BFB" w:rsidP="005E256B">
            <w:pPr>
              <w:rPr>
                <w:color w:val="000000"/>
              </w:rPr>
            </w:pPr>
            <w:r>
              <w:t>Be able to discuss the Stanford Prison Experiment and the controversy around it in terms of its implications for the study of behavior</w:t>
            </w:r>
            <w:r>
              <w:rPr>
                <w:color w:val="000000"/>
              </w:rPr>
              <w:t>,</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1,2</w:t>
            </w:r>
            <w:r>
              <w:rPr>
                <w:sz w:val="24"/>
                <w:szCs w:val="24"/>
              </w:rPr>
              <w:t>,4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625BFB" w:rsidRDefault="00625BFB" w:rsidP="00625BFB">
            <w:pPr>
              <w:spacing w:line="384" w:lineRule="atLeast"/>
              <w:rPr>
                <w:color w:val="000000"/>
              </w:rPr>
            </w:pPr>
            <w:r>
              <w:t>Be able to understand how cognition, relationships and culture blend with the concept of the situation</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1,2</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D9471E" w:rsidRPr="00A02681" w:rsidRDefault="00D9471E" w:rsidP="005E256B">
            <w:pPr>
              <w:pStyle w:val="BodyTextIndent"/>
              <w:spacing w:line="276" w:lineRule="auto"/>
              <w:ind w:left="0"/>
              <w:jc w:val="center"/>
              <w:rPr>
                <w:sz w:val="24"/>
                <w:szCs w:val="24"/>
              </w:rPr>
            </w:pPr>
            <w:r>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625BFB" w:rsidRDefault="00625BFB" w:rsidP="00625BFB">
            <w:pPr>
              <w:spacing w:line="384" w:lineRule="atLeast"/>
              <w:rPr>
                <w:color w:val="000000"/>
              </w:rPr>
            </w:pPr>
            <w:r>
              <w:t>Know about the social role of emotions,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D9471E" w:rsidRDefault="00D9471E" w:rsidP="005E256B">
            <w:pPr>
              <w:spacing w:line="276" w:lineRule="auto"/>
              <w:jc w:val="center"/>
              <w:rPr>
                <w:sz w:val="24"/>
                <w:szCs w:val="24"/>
              </w:rPr>
            </w:pPr>
            <w:r>
              <w:rPr>
                <w:sz w:val="24"/>
                <w:szCs w:val="24"/>
              </w:rPr>
              <w:t>1,3,4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D9471E" w:rsidRPr="00A02681" w:rsidRDefault="00D9471E" w:rsidP="005E256B">
            <w:pPr>
              <w:pStyle w:val="BodyTextIndent"/>
              <w:spacing w:line="276" w:lineRule="auto"/>
              <w:ind w:left="0"/>
              <w:jc w:val="center"/>
              <w:rPr>
                <w:sz w:val="24"/>
                <w:szCs w:val="24"/>
              </w:rPr>
            </w:pPr>
            <w:r>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9471E" w:rsidRPr="00080AD4" w:rsidRDefault="00625BFB" w:rsidP="005E256B">
            <w:pPr>
              <w:rPr>
                <w:rFonts w:ascii="Calibri" w:hAnsi="Calibri"/>
                <w:sz w:val="22"/>
                <w:szCs w:val="22"/>
              </w:rPr>
            </w:pPr>
            <w:r>
              <w:t>Understand the role of the self and the environment in Self-Determination Theory</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D9471E" w:rsidRDefault="00D9471E" w:rsidP="005E256B">
            <w:pPr>
              <w:spacing w:line="276" w:lineRule="auto"/>
              <w:jc w:val="center"/>
              <w:rPr>
                <w:sz w:val="24"/>
                <w:szCs w:val="24"/>
              </w:rPr>
            </w:pPr>
            <w:r>
              <w:rPr>
                <w:sz w:val="24"/>
                <w:szCs w:val="24"/>
              </w:rPr>
              <w:t>1</w:t>
            </w:r>
          </w:p>
        </w:tc>
      </w:tr>
      <w:tr w:rsidR="00D9471E" w:rsidRPr="00A02681" w:rsidTr="005E256B">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D9471E" w:rsidRPr="00A02681" w:rsidTr="005E256B">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D9471E" w:rsidRPr="00A02681" w:rsidRDefault="00D9471E" w:rsidP="005E256B">
            <w:pPr>
              <w:spacing w:line="276" w:lineRule="auto"/>
              <w:rPr>
                <w:rFonts w:eastAsia="Calibri"/>
                <w:b/>
                <w:bCs/>
                <w:sz w:val="24"/>
                <w:szCs w:val="24"/>
              </w:rPr>
            </w:pPr>
            <w:r w:rsidRPr="00A02681">
              <w:rPr>
                <w:b/>
                <w:bCs/>
                <w:sz w:val="24"/>
                <w:szCs w:val="24"/>
              </w:rPr>
              <w:lastRenderedPageBreak/>
              <w:t>Course’s Contribution to Program</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D9471E" w:rsidRPr="00A02681" w:rsidRDefault="00D9471E" w:rsidP="005E256B">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D9471E" w:rsidRPr="00A02681" w:rsidRDefault="00D9471E" w:rsidP="005E256B">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CL</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5</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3</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5</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3</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4</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3</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Pr>
                <w:sz w:val="24"/>
                <w:szCs w:val="24"/>
              </w:rPr>
              <w:t>3</w:t>
            </w:r>
          </w:p>
        </w:tc>
      </w:tr>
      <w:tr w:rsidR="00D9471E" w:rsidRPr="00A02681"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D9471E" w:rsidRPr="00A02681" w:rsidRDefault="00D9471E"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D9471E" w:rsidRPr="00A02681" w:rsidRDefault="00D9471E" w:rsidP="005E256B">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D9471E" w:rsidRPr="00A02681" w:rsidRDefault="005801B0" w:rsidP="005E256B">
            <w:pPr>
              <w:spacing w:line="276" w:lineRule="auto"/>
              <w:jc w:val="center"/>
              <w:rPr>
                <w:rFonts w:eastAsia="Calibri"/>
                <w:sz w:val="24"/>
                <w:szCs w:val="24"/>
              </w:rPr>
            </w:pPr>
            <w:r>
              <w:rPr>
                <w:sz w:val="24"/>
                <w:szCs w:val="24"/>
              </w:rPr>
              <w:t>4</w:t>
            </w:r>
            <w:bookmarkStart w:id="0" w:name="_GoBack"/>
            <w:bookmarkEnd w:id="0"/>
          </w:p>
        </w:tc>
      </w:tr>
      <w:tr w:rsidR="00D9471E" w:rsidRPr="00A02681" w:rsidTr="005E256B">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jc w:val="center"/>
              <w:rPr>
                <w:rFonts w:eastAsia="Calibri"/>
                <w:sz w:val="24"/>
                <w:szCs w:val="24"/>
              </w:rPr>
            </w:pPr>
            <w:r w:rsidRPr="00A02681">
              <w:rPr>
                <w:bCs/>
                <w:sz w:val="24"/>
                <w:szCs w:val="24"/>
              </w:rPr>
              <w:t>CL: Contribution Level (1: Very Low, 2: Low, 3: Moderate 4: High, 5:Very High)</w:t>
            </w:r>
          </w:p>
        </w:tc>
      </w:tr>
    </w:tbl>
    <w:p w:rsidR="00D9471E" w:rsidRPr="00A02681" w:rsidRDefault="00D9471E" w:rsidP="00D9471E">
      <w:pPr>
        <w:rPr>
          <w:rFonts w:eastAsia="Calibri"/>
          <w:sz w:val="24"/>
          <w:szCs w:val="24"/>
        </w:rPr>
      </w:pPr>
    </w:p>
    <w:p w:rsidR="00D9471E" w:rsidRPr="00A02681" w:rsidRDefault="00D9471E" w:rsidP="00D9471E">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D9471E" w:rsidRPr="00A02681" w:rsidTr="005E256B">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D9471E" w:rsidRPr="00A02681" w:rsidRDefault="00D9471E" w:rsidP="005E256B">
            <w:pPr>
              <w:spacing w:line="276" w:lineRule="auto"/>
              <w:rPr>
                <w:rFonts w:eastAsia="Calibri"/>
                <w:b/>
                <w:bCs/>
                <w:sz w:val="24"/>
                <w:szCs w:val="24"/>
              </w:rPr>
            </w:pPr>
            <w:r w:rsidRPr="00A02681">
              <w:rPr>
                <w:b/>
                <w:bCs/>
                <w:sz w:val="24"/>
                <w:szCs w:val="24"/>
              </w:rPr>
              <w:t>Course Contents</w:t>
            </w:r>
          </w:p>
        </w:tc>
      </w:tr>
      <w:tr w:rsidR="00D9471E" w:rsidRPr="00A02681" w:rsidTr="005E256B">
        <w:trPr>
          <w:trHeight w:val="129"/>
        </w:trPr>
        <w:tc>
          <w:tcPr>
            <w:tcW w:w="817" w:type="dxa"/>
            <w:tcBorders>
              <w:top w:val="nil"/>
              <w:left w:val="single" w:sz="8" w:space="0" w:color="000000"/>
              <w:bottom w:val="single" w:sz="4" w:space="0" w:color="auto"/>
              <w:right w:val="single" w:sz="8" w:space="0" w:color="000000"/>
            </w:tcBorders>
            <w:hideMark/>
          </w:tcPr>
          <w:p w:rsidR="00D9471E" w:rsidRPr="00A02681" w:rsidRDefault="00D9471E" w:rsidP="005E256B">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D9471E" w:rsidRPr="00A02681" w:rsidRDefault="00D9471E" w:rsidP="005E256B">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D9471E" w:rsidRPr="00A02681" w:rsidRDefault="00D9471E" w:rsidP="005E256B">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D9471E" w:rsidRPr="00A02681" w:rsidRDefault="00D9471E" w:rsidP="005E256B">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C66006" w:rsidRDefault="00625BFB" w:rsidP="005E256B">
            <w:pPr>
              <w:rPr>
                <w:lang w:val="en-GB"/>
              </w:rPr>
            </w:pPr>
            <w:r>
              <w:rPr>
                <w:lang w:val="en-GB"/>
              </w:rPr>
              <w:t xml:space="preserve">The role of situation in social psychology </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b/>
                <w:bCs/>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Reinvigorating the concept of situation in social psychology</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b/>
                <w:bCs/>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rPr>
                <w:lang w:val="en-GB"/>
              </w:rPr>
              <w:t>Attitudes</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b/>
                <w:bCs/>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 xml:space="preserve">Influence as dominance </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b/>
                <w:bCs/>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Default="00625BFB" w:rsidP="005E256B">
            <w:pPr>
              <w:rPr>
                <w:lang w:val="en-GB"/>
              </w:rPr>
            </w:pPr>
            <w:r>
              <w:t>Negotiation as a ‘game’ of interests</w:t>
            </w:r>
          </w:p>
          <w:p w:rsidR="00625BFB" w:rsidRPr="00EB17B1" w:rsidRDefault="00625BFB" w:rsidP="005E256B">
            <w:pPr>
              <w:rPr>
                <w:lang w:val="en-GB"/>
              </w:rPr>
            </w:pP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Conflict</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 xml:space="preserve">The social function of emotions </w:t>
            </w:r>
          </w:p>
        </w:tc>
        <w:tc>
          <w:tcPr>
            <w:tcW w:w="1275"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Quiz</w:t>
            </w: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tc>
        <w:tc>
          <w:tcPr>
            <w:tcW w:w="1275"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Mid Term</w:t>
            </w: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9</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 xml:space="preserve">The self through social comparison </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 xml:space="preserve">Self-Determination Theory </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 xml:space="preserve">The justice motive </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nil"/>
              <w:left w:val="single" w:sz="8" w:space="0" w:color="000000"/>
              <w:bottom w:val="single" w:sz="4" w:space="0" w:color="auto"/>
              <w:right w:val="single" w:sz="8" w:space="0" w:color="000000"/>
            </w:tcBorders>
            <w:hideMark/>
          </w:tcPr>
          <w:p w:rsidR="00625BFB" w:rsidRPr="00A02681" w:rsidRDefault="00625BFB" w:rsidP="005E256B">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625BFB" w:rsidRPr="00E45937" w:rsidRDefault="00625BFB" w:rsidP="005E256B">
            <w:r>
              <w:t>Applied social psychology: social psychology in clinic</w:t>
            </w:r>
          </w:p>
        </w:tc>
        <w:tc>
          <w:tcPr>
            <w:tcW w:w="1275" w:type="dxa"/>
            <w:tcBorders>
              <w:top w:val="nil"/>
              <w:left w:val="single" w:sz="8" w:space="0" w:color="000000"/>
              <w:bottom w:val="single" w:sz="4" w:space="0" w:color="auto"/>
              <w:right w:val="single" w:sz="8" w:space="0" w:color="000000"/>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625BFB" w:rsidRPr="00A02681" w:rsidRDefault="00625BFB" w:rsidP="005E256B">
            <w:pPr>
              <w:spacing w:line="276" w:lineRule="auto"/>
              <w:jc w:val="center"/>
              <w:rPr>
                <w:rFonts w:eastAsia="Calibri"/>
                <w:sz w:val="24"/>
                <w:szCs w:val="24"/>
              </w:rPr>
            </w:pPr>
            <w:r w:rsidRPr="00A02681">
              <w:rPr>
                <w:sz w:val="24"/>
                <w:szCs w:val="24"/>
              </w:rPr>
              <w:lastRenderedPageBreak/>
              <w:t>13</w:t>
            </w:r>
          </w:p>
        </w:tc>
        <w:tc>
          <w:tcPr>
            <w:tcW w:w="1134" w:type="dxa"/>
            <w:tcBorders>
              <w:top w:val="single" w:sz="4" w:space="0" w:color="auto"/>
              <w:left w:val="single" w:sz="4" w:space="0" w:color="auto"/>
              <w:bottom w:val="single" w:sz="4" w:space="0" w:color="auto"/>
              <w:right w:val="single" w:sz="4" w:space="0" w:color="auto"/>
            </w:tcBorders>
          </w:tcPr>
          <w:p w:rsidR="00625BFB" w:rsidRPr="00A02681" w:rsidRDefault="00625BFB" w:rsidP="005E256B">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625BFB" w:rsidRPr="00E45937" w:rsidRDefault="00625BFB" w:rsidP="005E256B">
            <w:r>
              <w:t>Applied social psychology: social psychology in courts</w:t>
            </w:r>
          </w:p>
        </w:tc>
        <w:tc>
          <w:tcPr>
            <w:tcW w:w="1275" w:type="dxa"/>
            <w:tcBorders>
              <w:top w:val="single" w:sz="4" w:space="0" w:color="auto"/>
              <w:left w:val="single" w:sz="4" w:space="0" w:color="auto"/>
              <w:bottom w:val="single" w:sz="4" w:space="0" w:color="auto"/>
              <w:right w:val="single" w:sz="4" w:space="0" w:color="auto"/>
            </w:tcBorders>
          </w:tcPr>
          <w:p w:rsidR="00625BFB" w:rsidRPr="00A02681" w:rsidRDefault="00625BFB" w:rsidP="005E256B">
            <w:pPr>
              <w:spacing w:line="276" w:lineRule="auto"/>
              <w:jc w:val="center"/>
              <w:rPr>
                <w:rFonts w:eastAsia="Calibri"/>
                <w:sz w:val="24"/>
                <w:szCs w:val="24"/>
              </w:rPr>
            </w:pPr>
          </w:p>
        </w:tc>
      </w:tr>
      <w:tr w:rsidR="00625BFB" w:rsidRPr="00A02681"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625BFB" w:rsidRPr="00A02681" w:rsidRDefault="00625BFB" w:rsidP="005E256B">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625BFB" w:rsidRPr="00A02681" w:rsidRDefault="00625BFB"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625BFB" w:rsidRPr="00E45937" w:rsidRDefault="00625BFB" w:rsidP="005E256B">
            <w:r>
              <w:t>Social psychology and Sustainable Future</w:t>
            </w:r>
          </w:p>
        </w:tc>
        <w:tc>
          <w:tcPr>
            <w:tcW w:w="1275" w:type="dxa"/>
            <w:tcBorders>
              <w:top w:val="single" w:sz="4" w:space="0" w:color="auto"/>
              <w:left w:val="single" w:sz="4" w:space="0" w:color="auto"/>
              <w:bottom w:val="single" w:sz="4" w:space="0" w:color="auto"/>
              <w:right w:val="single" w:sz="4" w:space="0" w:color="auto"/>
            </w:tcBorders>
            <w:hideMark/>
          </w:tcPr>
          <w:p w:rsidR="00625BFB" w:rsidRPr="00A02681" w:rsidRDefault="00625BFB" w:rsidP="005E256B">
            <w:pPr>
              <w:spacing w:line="276" w:lineRule="auto"/>
              <w:jc w:val="center"/>
              <w:rPr>
                <w:rFonts w:eastAsia="Calibri"/>
                <w:sz w:val="24"/>
                <w:szCs w:val="24"/>
              </w:rPr>
            </w:pPr>
            <w:r w:rsidRPr="00A02681">
              <w:rPr>
                <w:sz w:val="24"/>
                <w:szCs w:val="24"/>
              </w:rPr>
              <w:t>Quiz</w:t>
            </w:r>
          </w:p>
        </w:tc>
      </w:tr>
      <w:tr w:rsidR="00D9471E" w:rsidRPr="00A02681" w:rsidTr="005E256B">
        <w:trPr>
          <w:trHeight w:val="156"/>
        </w:trPr>
        <w:tc>
          <w:tcPr>
            <w:tcW w:w="817"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D9471E" w:rsidRPr="00A02681" w:rsidRDefault="00D9471E"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D9471E" w:rsidRPr="008E61C7" w:rsidRDefault="00D9471E" w:rsidP="005E256B">
            <w:pPr>
              <w:rPr>
                <w:lang w:val="en-GB"/>
              </w:rPr>
            </w:pPr>
          </w:p>
        </w:tc>
        <w:tc>
          <w:tcPr>
            <w:tcW w:w="1275"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Final</w:t>
            </w:r>
          </w:p>
        </w:tc>
      </w:tr>
      <w:tr w:rsidR="00D9471E" w:rsidRPr="00A02681" w:rsidTr="005E256B">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Recommended Sources</w:t>
            </w:r>
            <w:r>
              <w:rPr>
                <w:rFonts w:ascii="Calibri" w:hAnsi="Calibri" w:cs="Calibri"/>
                <w:sz w:val="22"/>
                <w:szCs w:val="22"/>
              </w:rPr>
              <w:t xml:space="preserve"> . </w:t>
            </w:r>
          </w:p>
        </w:tc>
      </w:tr>
      <w:tr w:rsidR="00D9471E" w:rsidRPr="00A02681" w:rsidTr="005E256B">
        <w:trPr>
          <w:trHeight w:val="425"/>
        </w:trPr>
        <w:tc>
          <w:tcPr>
            <w:tcW w:w="9315" w:type="dxa"/>
            <w:gridSpan w:val="9"/>
            <w:tcBorders>
              <w:top w:val="nil"/>
              <w:left w:val="single" w:sz="4" w:space="0" w:color="auto"/>
              <w:bottom w:val="single" w:sz="4" w:space="0" w:color="auto"/>
              <w:right w:val="single" w:sz="4" w:space="0" w:color="auto"/>
            </w:tcBorders>
            <w:vAlign w:val="center"/>
          </w:tcPr>
          <w:p w:rsidR="00625BFB" w:rsidRDefault="00D9471E" w:rsidP="005E256B">
            <w:pPr>
              <w:rPr>
                <w:rFonts w:eastAsia="Calibri"/>
              </w:rPr>
            </w:pPr>
            <w:r w:rsidRPr="00A02681">
              <w:rPr>
                <w:b/>
                <w:sz w:val="24"/>
                <w:szCs w:val="24"/>
              </w:rPr>
              <w:t>Textbook:</w:t>
            </w:r>
            <w:r w:rsidRPr="00A02681">
              <w:rPr>
                <w:sz w:val="24"/>
                <w:szCs w:val="24"/>
              </w:rPr>
              <w:t xml:space="preserve"> </w:t>
            </w:r>
            <w:r w:rsidRPr="006F6EB8">
              <w:rPr>
                <w:b/>
              </w:rPr>
              <w:t xml:space="preserve">; </w:t>
            </w:r>
            <w:r w:rsidRPr="002740A1">
              <w:rPr>
                <w:rFonts w:ascii="Calibri" w:hAnsi="Calibri" w:cs="Calibri"/>
                <w:sz w:val="22"/>
                <w:szCs w:val="22"/>
              </w:rPr>
              <w:t>.</w:t>
            </w:r>
            <w:r w:rsidR="00625BFB" w:rsidRPr="008A35A7">
              <w:rPr>
                <w:rFonts w:eastAsia="Calibri"/>
              </w:rPr>
              <w:t xml:space="preserve"> David G. Myers</w:t>
            </w:r>
            <w:r w:rsidR="00625BFB">
              <w:t xml:space="preserve"> (</w:t>
            </w:r>
            <w:r w:rsidR="00625BFB" w:rsidRPr="008A35A7">
              <w:t xml:space="preserve">2010) </w:t>
            </w:r>
            <w:r w:rsidR="00625BFB" w:rsidRPr="008A35A7">
              <w:rPr>
                <w:u w:val="single"/>
              </w:rPr>
              <w:t>Social Psychology</w:t>
            </w:r>
            <w:r w:rsidR="00625BFB" w:rsidRPr="008A35A7">
              <w:t xml:space="preserve"> (10th Ed.) </w:t>
            </w:r>
            <w:r w:rsidR="00625BFB" w:rsidRPr="008A35A7">
              <w:rPr>
                <w:rFonts w:eastAsia="Calibri"/>
              </w:rPr>
              <w:t>, Published by McGraw-Hil</w:t>
            </w:r>
          </w:p>
          <w:p w:rsidR="00D9471E" w:rsidRDefault="00D9471E" w:rsidP="005E256B">
            <w:r>
              <w:rPr>
                <w:rFonts w:ascii="Calibri" w:hAnsi="Calibri" w:cs="Calibri"/>
                <w:sz w:val="22"/>
                <w:szCs w:val="22"/>
              </w:rPr>
              <w:t xml:space="preserve"> Additional papers assigned periodically and made available via GAU e-learning system</w:t>
            </w:r>
          </w:p>
          <w:p w:rsidR="00D9471E" w:rsidRPr="00E91FCF" w:rsidRDefault="00D9471E" w:rsidP="005E256B"/>
        </w:tc>
      </w:tr>
      <w:tr w:rsidR="00D9471E" w:rsidRPr="00A02681"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Assessment</w:t>
            </w:r>
          </w:p>
        </w:tc>
      </w:tr>
      <w:tr w:rsidR="00D9471E" w:rsidRPr="00A02681" w:rsidTr="005E256B">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Pr>
                <w:sz w:val="24"/>
                <w:szCs w:val="24"/>
              </w:rPr>
              <w:t>10</w:t>
            </w:r>
            <w:r w:rsidRPr="00A02681">
              <w:rPr>
                <w:sz w:val="24"/>
                <w:szCs w:val="24"/>
              </w:rPr>
              <w:t>%</w:t>
            </w:r>
          </w:p>
        </w:tc>
        <w:tc>
          <w:tcPr>
            <w:tcW w:w="5665" w:type="dxa"/>
            <w:gridSpan w:val="5"/>
            <w:tcBorders>
              <w:top w:val="nil"/>
              <w:left w:val="single" w:sz="4" w:space="0" w:color="auto"/>
              <w:bottom w:val="nil"/>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D9471E" w:rsidRPr="00A02681" w:rsidRDefault="00D9471E" w:rsidP="005E256B">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D9471E" w:rsidRPr="00A02681" w:rsidRDefault="00D9471E" w:rsidP="005E256B">
            <w:pPr>
              <w:pBdr>
                <w:top w:val="single" w:sz="4" w:space="1" w:color="auto"/>
              </w:pBdr>
              <w:spacing w:line="276" w:lineRule="auto"/>
              <w:rPr>
                <w:rFonts w:eastAsia="Calibri"/>
                <w:b/>
                <w:sz w:val="24"/>
                <w:szCs w:val="24"/>
              </w:rPr>
            </w:pPr>
          </w:p>
        </w:tc>
      </w:tr>
      <w:tr w:rsidR="00D9471E" w:rsidRPr="00A02681"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D9471E" w:rsidRPr="00A02681" w:rsidRDefault="00D9471E" w:rsidP="005E256B">
            <w:pPr>
              <w:spacing w:line="276" w:lineRule="auto"/>
              <w:rPr>
                <w:rFonts w:eastAsia="Calibri"/>
                <w:b/>
                <w:sz w:val="24"/>
                <w:szCs w:val="24"/>
              </w:rPr>
            </w:pPr>
            <w:r w:rsidRPr="00A02681">
              <w:rPr>
                <w:b/>
                <w:sz w:val="24"/>
                <w:szCs w:val="24"/>
              </w:rPr>
              <w:t>ECTS Allocated Based on the Student Workload</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Total Workload(hour)</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45</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Pr>
                <w:sz w:val="24"/>
                <w:szCs w:val="24"/>
              </w:rPr>
              <w:t>2</w:t>
            </w:r>
            <w:r w:rsidRPr="00A02681">
              <w:rPr>
                <w:sz w:val="24"/>
                <w:szCs w:val="24"/>
              </w:rPr>
              <w:t>4</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10</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9471E" w:rsidRPr="00A02681" w:rsidRDefault="00D9471E"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9471E" w:rsidRPr="00A02681" w:rsidRDefault="00D9471E"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9471E" w:rsidRPr="00A02681" w:rsidRDefault="00D9471E" w:rsidP="005E256B">
            <w:pPr>
              <w:spacing w:line="276" w:lineRule="auto"/>
              <w:jc w:val="center"/>
              <w:rPr>
                <w:rFonts w:eastAsia="Calibri"/>
                <w:sz w:val="24"/>
                <w:szCs w:val="24"/>
              </w:rPr>
            </w:pP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10</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14</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28</w:t>
            </w:r>
          </w:p>
        </w:tc>
      </w:tr>
      <w:tr w:rsidR="00D9471E" w:rsidRPr="00A02681"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rPr>
                <w:rFonts w:eastAsia="Calibri"/>
                <w:sz w:val="24"/>
                <w:szCs w:val="24"/>
              </w:rPr>
            </w:pPr>
            <w:r w:rsidRPr="00A02681">
              <w:rPr>
                <w:sz w:val="24"/>
                <w:szCs w:val="24"/>
              </w:rPr>
              <w:t xml:space="preserve">Self Study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42</w:t>
            </w:r>
          </w:p>
        </w:tc>
      </w:tr>
      <w:tr w:rsidR="00D9471E" w:rsidRPr="00A02681"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9471E" w:rsidRPr="00A02681" w:rsidRDefault="00D9471E" w:rsidP="005E256B">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173</w:t>
            </w:r>
          </w:p>
        </w:tc>
      </w:tr>
      <w:tr w:rsidR="00D9471E" w:rsidRPr="00A02681"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9471E" w:rsidRPr="00A02681" w:rsidRDefault="00D9471E" w:rsidP="005E256B">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5.76</w:t>
            </w:r>
          </w:p>
        </w:tc>
      </w:tr>
      <w:tr w:rsidR="00D9471E" w:rsidRPr="00A02681"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9471E" w:rsidRPr="00A02681" w:rsidRDefault="00D9471E" w:rsidP="005E256B">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9471E" w:rsidRPr="00A02681" w:rsidRDefault="00D9471E" w:rsidP="005E256B">
            <w:pPr>
              <w:spacing w:line="276" w:lineRule="auto"/>
              <w:jc w:val="center"/>
              <w:rPr>
                <w:rFonts w:eastAsia="Calibri"/>
                <w:sz w:val="24"/>
                <w:szCs w:val="24"/>
              </w:rPr>
            </w:pPr>
            <w:r w:rsidRPr="00A02681">
              <w:rPr>
                <w:sz w:val="24"/>
                <w:szCs w:val="24"/>
              </w:rPr>
              <w:t>6</w:t>
            </w:r>
          </w:p>
        </w:tc>
      </w:tr>
    </w:tbl>
    <w:p w:rsidR="00D9471E" w:rsidRDefault="00D9471E" w:rsidP="00D9471E"/>
    <w:p w:rsidR="00D9471E" w:rsidRDefault="00D9471E" w:rsidP="00D9471E"/>
    <w:p w:rsidR="00D9471E" w:rsidRDefault="00D9471E" w:rsidP="00D9471E"/>
    <w:p w:rsidR="00D9471E" w:rsidRDefault="00D9471E" w:rsidP="00D9471E"/>
    <w:p w:rsidR="00D9471E" w:rsidRDefault="00D9471E" w:rsidP="00D9471E"/>
    <w:p w:rsidR="00D9471E" w:rsidRDefault="00D9471E" w:rsidP="00D9471E"/>
    <w:p w:rsidR="00D9471E" w:rsidRDefault="00D9471E" w:rsidP="00D9471E"/>
    <w:p w:rsidR="0040118D" w:rsidRDefault="0040118D"/>
    <w:sectPr w:rsidR="0040118D"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7C1B"/>
    <w:multiLevelType w:val="hybridMultilevel"/>
    <w:tmpl w:val="C88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1E"/>
    <w:rsid w:val="0040118D"/>
    <w:rsid w:val="005801B0"/>
    <w:rsid w:val="00625BFB"/>
    <w:rsid w:val="00D94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1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9471E"/>
    <w:pPr>
      <w:spacing w:after="120"/>
      <w:ind w:left="283"/>
    </w:pPr>
  </w:style>
  <w:style w:type="character" w:customStyle="1" w:styleId="BodyTextIndentChar">
    <w:name w:val="Body Text Indent Char"/>
    <w:basedOn w:val="DefaultParagraphFont"/>
    <w:link w:val="BodyTextIndent"/>
    <w:uiPriority w:val="99"/>
    <w:semiHidden/>
    <w:rsid w:val="00D9471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9471E"/>
    <w:pPr>
      <w:spacing w:after="200" w:line="276" w:lineRule="auto"/>
      <w:ind w:left="720"/>
    </w:pPr>
    <w:rPr>
      <w:rFonts w:ascii="Calibri" w:eastAsia="Calibri" w:hAnsi="Calibri"/>
      <w:sz w:val="22"/>
      <w:szCs w:val="22"/>
      <w:lang w:val="tr-TR" w:eastAsia="tr-TR"/>
    </w:rPr>
  </w:style>
  <w:style w:type="paragraph" w:styleId="BodyText">
    <w:name w:val="Body Text"/>
    <w:basedOn w:val="Normal"/>
    <w:link w:val="BodyTextChar"/>
    <w:uiPriority w:val="99"/>
    <w:unhideWhenUsed/>
    <w:rsid w:val="00D9471E"/>
    <w:pPr>
      <w:spacing w:after="120"/>
    </w:pPr>
  </w:style>
  <w:style w:type="character" w:customStyle="1" w:styleId="BodyTextChar">
    <w:name w:val="Body Text Char"/>
    <w:basedOn w:val="DefaultParagraphFont"/>
    <w:link w:val="BodyText"/>
    <w:uiPriority w:val="99"/>
    <w:rsid w:val="00D9471E"/>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1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9471E"/>
    <w:pPr>
      <w:spacing w:after="120"/>
      <w:ind w:left="283"/>
    </w:pPr>
  </w:style>
  <w:style w:type="character" w:customStyle="1" w:styleId="BodyTextIndentChar">
    <w:name w:val="Body Text Indent Char"/>
    <w:basedOn w:val="DefaultParagraphFont"/>
    <w:link w:val="BodyTextIndent"/>
    <w:uiPriority w:val="99"/>
    <w:semiHidden/>
    <w:rsid w:val="00D9471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9471E"/>
    <w:pPr>
      <w:spacing w:after="200" w:line="276" w:lineRule="auto"/>
      <w:ind w:left="720"/>
    </w:pPr>
    <w:rPr>
      <w:rFonts w:ascii="Calibri" w:eastAsia="Calibri" w:hAnsi="Calibri"/>
      <w:sz w:val="22"/>
      <w:szCs w:val="22"/>
      <w:lang w:val="tr-TR" w:eastAsia="tr-TR"/>
    </w:rPr>
  </w:style>
  <w:style w:type="paragraph" w:styleId="BodyText">
    <w:name w:val="Body Text"/>
    <w:basedOn w:val="Normal"/>
    <w:link w:val="BodyTextChar"/>
    <w:uiPriority w:val="99"/>
    <w:unhideWhenUsed/>
    <w:rsid w:val="00D9471E"/>
    <w:pPr>
      <w:spacing w:after="120"/>
    </w:pPr>
  </w:style>
  <w:style w:type="character" w:customStyle="1" w:styleId="BodyTextChar">
    <w:name w:val="Body Text Char"/>
    <w:basedOn w:val="DefaultParagraphFont"/>
    <w:link w:val="BodyText"/>
    <w:uiPriority w:val="99"/>
    <w:rsid w:val="00D9471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3</cp:revision>
  <dcterms:created xsi:type="dcterms:W3CDTF">2017-05-15T08:43:00Z</dcterms:created>
  <dcterms:modified xsi:type="dcterms:W3CDTF">2017-05-15T11:55:00Z</dcterms:modified>
</cp:coreProperties>
</file>